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E654" w14:textId="77777777" w:rsidR="00140D5C" w:rsidRDefault="00D6123B">
      <w:pPr>
        <w:jc w:val="center"/>
      </w:pPr>
      <w:r>
        <w:rPr>
          <w:rStyle w:val="MSJHBD-SB16pt"/>
        </w:rPr>
        <w:t>109</w:t>
      </w:r>
      <w:r>
        <w:rPr>
          <w:rStyle w:val="MSJHBD-SB16pt"/>
        </w:rPr>
        <w:t>學年度</w:t>
      </w:r>
      <w:r>
        <w:rPr>
          <w:rStyle w:val="MSJHBD-SB16pt"/>
        </w:rPr>
        <w:t xml:space="preserve"> </w:t>
      </w:r>
      <w:r>
        <w:rPr>
          <w:rStyle w:val="MSJHBD-SB16pt"/>
        </w:rPr>
        <w:t>第</w:t>
      </w:r>
      <w:r>
        <w:rPr>
          <w:rStyle w:val="MSJHBD-SB16pt"/>
        </w:rPr>
        <w:t>2</w:t>
      </w:r>
      <w:r>
        <w:rPr>
          <w:rStyle w:val="MSJHBD-SB16pt"/>
        </w:rPr>
        <w:t>學期</w:t>
      </w:r>
      <w:r>
        <w:rPr>
          <w:rStyle w:val="MSJHBD-SB16pt"/>
        </w:rPr>
        <w:t xml:space="preserve"> </w:t>
      </w:r>
      <w:r>
        <w:rPr>
          <w:rStyle w:val="MSJHBD-SB16pt"/>
        </w:rPr>
        <w:t>先進化合物半導體及其應用</w:t>
      </w:r>
      <w:r>
        <w:rPr>
          <w:rStyle w:val="MSJHBD-SB16pt"/>
        </w:rPr>
        <w:t xml:space="preserve"> Advanced Compound Semiconductors and Their Applications </w:t>
      </w:r>
      <w:r>
        <w:rPr>
          <w:rStyle w:val="MSJHBD-SB16pt"/>
        </w:rPr>
        <w:t>課程綱要</w:t>
      </w:r>
    </w:p>
    <w:tbl>
      <w:tblPr>
        <w:tblStyle w:val="myTable"/>
        <w:tblW w:w="0" w:type="auto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78"/>
        <w:gridCol w:w="1964"/>
        <w:gridCol w:w="1276"/>
        <w:gridCol w:w="1949"/>
        <w:gridCol w:w="2169"/>
      </w:tblGrid>
      <w:tr w:rsidR="00140D5C" w14:paraId="2F416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gridSpan w:val="4"/>
            <w:vMerge w:val="restart"/>
          </w:tcPr>
          <w:p w14:paraId="209DCC28" w14:textId="77777777" w:rsidR="00140D5C" w:rsidRDefault="00D6123B">
            <w:pPr>
              <w:jc w:val="left"/>
            </w:pPr>
            <w:r>
              <w:rPr>
                <w:rStyle w:val="MSJHBD-SB12pt"/>
              </w:rPr>
              <w:t>課程名稱：</w:t>
            </w:r>
            <w:r>
              <w:rPr>
                <w:rStyle w:val="MSJHBD-SB12pt"/>
              </w:rPr>
              <w:br/>
            </w:r>
            <w:r>
              <w:rPr>
                <w:rStyle w:val="MSJHBD-SB12pt"/>
              </w:rPr>
              <w:t>（中文）先進化合物半導體及其應用</w:t>
            </w:r>
            <w:r>
              <w:rPr>
                <w:rStyle w:val="MSJHBD-SB12pt"/>
              </w:rPr>
              <w:br/>
            </w:r>
            <w:r>
              <w:rPr>
                <w:rStyle w:val="MSJHBD-SB12pt"/>
              </w:rPr>
              <w:t>（英文）</w:t>
            </w:r>
            <w:r>
              <w:rPr>
                <w:rStyle w:val="MSJHBD-SB12pt"/>
              </w:rPr>
              <w:t>Advanced Compound Semiconductors and Their Applications</w:t>
            </w:r>
          </w:p>
        </w:tc>
        <w:tc>
          <w:tcPr>
            <w:tcW w:w="3000" w:type="dxa"/>
          </w:tcPr>
          <w:p w14:paraId="60ADD161" w14:textId="77777777" w:rsidR="00140D5C" w:rsidRDefault="00D6123B">
            <w:pPr>
              <w:jc w:val="left"/>
            </w:pPr>
            <w:r>
              <w:rPr>
                <w:rStyle w:val="MSJHBD-SB12pt"/>
              </w:rPr>
              <w:t>開課單位：</w:t>
            </w:r>
          </w:p>
        </w:tc>
        <w:tc>
          <w:tcPr>
            <w:tcW w:w="3000" w:type="dxa"/>
          </w:tcPr>
          <w:p w14:paraId="07464E95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半導體碩</w:t>
            </w:r>
            <w:r>
              <w:rPr>
                <w:rStyle w:val="BlueMSJHBD-SB12pt"/>
              </w:rPr>
              <w:t xml:space="preserve">  </w:t>
            </w:r>
          </w:p>
        </w:tc>
      </w:tr>
      <w:tr w:rsidR="00140D5C" w14:paraId="15DD8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gridSpan w:val="4"/>
            <w:vMerge/>
          </w:tcPr>
          <w:p w14:paraId="7A93EAC3" w14:textId="77777777" w:rsidR="00140D5C" w:rsidRDefault="00140D5C"/>
        </w:tc>
        <w:tc>
          <w:tcPr>
            <w:tcW w:w="3000" w:type="dxa"/>
          </w:tcPr>
          <w:p w14:paraId="17A227F0" w14:textId="77777777" w:rsidR="00140D5C" w:rsidRDefault="00D6123B">
            <w:pPr>
              <w:jc w:val="left"/>
            </w:pPr>
            <w:r>
              <w:rPr>
                <w:rStyle w:val="MSJHBD-SB12pt"/>
              </w:rPr>
              <w:t>永久課號：</w:t>
            </w:r>
          </w:p>
        </w:tc>
        <w:tc>
          <w:tcPr>
            <w:tcW w:w="3000" w:type="dxa"/>
          </w:tcPr>
          <w:p w14:paraId="42E2E7A5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CST5056</w:t>
            </w:r>
          </w:p>
        </w:tc>
      </w:tr>
      <w:tr w:rsidR="00140D5C" w14:paraId="30860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6"/>
          </w:tcPr>
          <w:p w14:paraId="6F86171B" w14:textId="77777777" w:rsidR="00140D5C" w:rsidRDefault="00D6123B">
            <w:pPr>
              <w:jc w:val="left"/>
            </w:pPr>
            <w:r>
              <w:rPr>
                <w:rStyle w:val="MSJHBD-SB12pt"/>
              </w:rPr>
              <w:t>授課教師：</w:t>
            </w:r>
          </w:p>
          <w:p w14:paraId="06316897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潘康瑞</w:t>
            </w:r>
            <w:r>
              <w:rPr>
                <w:rStyle w:val="BlueMSJHBD-SB12pt"/>
              </w:rPr>
              <w:t xml:space="preserve">Krishna </w:t>
            </w:r>
            <w:proofErr w:type="spellStart"/>
            <w:r>
              <w:rPr>
                <w:rStyle w:val="BlueMSJHBD-SB12pt"/>
              </w:rPr>
              <w:t>Pande</w:t>
            </w:r>
            <w:proofErr w:type="spellEnd"/>
          </w:p>
        </w:tc>
      </w:tr>
      <w:tr w:rsidR="00140D5C" w14:paraId="2EB0E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</w:tcPr>
          <w:p w14:paraId="21AF54EF" w14:textId="77777777" w:rsidR="00140D5C" w:rsidRDefault="00D6123B">
            <w:pPr>
              <w:jc w:val="left"/>
            </w:pPr>
            <w:r>
              <w:rPr>
                <w:rStyle w:val="MSJHBD-SB12pt"/>
              </w:rPr>
              <w:t>學分數：</w:t>
            </w:r>
          </w:p>
        </w:tc>
        <w:tc>
          <w:tcPr>
            <w:tcW w:w="2000" w:type="dxa"/>
          </w:tcPr>
          <w:p w14:paraId="5E5A2AEA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3.00</w:t>
            </w:r>
          </w:p>
        </w:tc>
        <w:tc>
          <w:tcPr>
            <w:tcW w:w="3000" w:type="dxa"/>
          </w:tcPr>
          <w:p w14:paraId="442D47E5" w14:textId="77777777" w:rsidR="00140D5C" w:rsidRDefault="00D6123B">
            <w:pPr>
              <w:jc w:val="left"/>
            </w:pPr>
            <w:r>
              <w:rPr>
                <w:rStyle w:val="MSJHBD-SB12pt"/>
              </w:rPr>
              <w:t>必／選修：</w:t>
            </w:r>
          </w:p>
        </w:tc>
        <w:tc>
          <w:tcPr>
            <w:tcW w:w="2000" w:type="dxa"/>
          </w:tcPr>
          <w:p w14:paraId="182C03D2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選修</w:t>
            </w:r>
          </w:p>
        </w:tc>
        <w:tc>
          <w:tcPr>
            <w:tcW w:w="3000" w:type="dxa"/>
          </w:tcPr>
          <w:p w14:paraId="6B9B4AC8" w14:textId="77777777" w:rsidR="00140D5C" w:rsidRDefault="00D6123B">
            <w:pPr>
              <w:jc w:val="left"/>
            </w:pPr>
            <w:r>
              <w:rPr>
                <w:rStyle w:val="MSJHBD-SB12pt"/>
              </w:rPr>
              <w:t>開課年級：</w:t>
            </w:r>
          </w:p>
        </w:tc>
        <w:tc>
          <w:tcPr>
            <w:tcW w:w="2000" w:type="dxa"/>
          </w:tcPr>
          <w:p w14:paraId="3F90BD0A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*</w:t>
            </w:r>
          </w:p>
        </w:tc>
      </w:tr>
      <w:tr w:rsidR="00140D5C" w14:paraId="6C62F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6"/>
          </w:tcPr>
          <w:p w14:paraId="54D30EFE" w14:textId="77777777" w:rsidR="00140D5C" w:rsidRDefault="00D6123B">
            <w:pPr>
              <w:jc w:val="left"/>
            </w:pPr>
            <w:r>
              <w:rPr>
                <w:rStyle w:val="MSJHBD-SB12pt"/>
              </w:rPr>
              <w:t>先修科目或先備能力：</w:t>
            </w:r>
          </w:p>
          <w:p w14:paraId="3FF31B16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Course will discuss current state of the art of HEMT technology, </w:t>
            </w:r>
            <w:proofErr w:type="spellStart"/>
            <w:r>
              <w:rPr>
                <w:rStyle w:val="BlueMSJHBD-SB12pt"/>
              </w:rPr>
              <w:t>InP</w:t>
            </w:r>
            <w:proofErr w:type="spellEnd"/>
            <w:r>
              <w:rPr>
                <w:rStyle w:val="BlueMSJHBD-SB12pt"/>
              </w:rPr>
              <w:t xml:space="preserve"> HBT, </w:t>
            </w:r>
            <w:proofErr w:type="spellStart"/>
            <w:r>
              <w:rPr>
                <w:rStyle w:val="BlueMSJHBD-SB12pt"/>
              </w:rPr>
              <w:t>GaN</w:t>
            </w:r>
            <w:proofErr w:type="spellEnd"/>
            <w:r>
              <w:rPr>
                <w:rStyle w:val="BlueMSJHBD-SB12pt"/>
              </w:rPr>
              <w:t xml:space="preserve"> power HEMT, </w:t>
            </w:r>
            <w:proofErr w:type="spellStart"/>
            <w:proofErr w:type="gramStart"/>
            <w:r>
              <w:rPr>
                <w:rStyle w:val="BlueMSJHBD-SB12pt"/>
              </w:rPr>
              <w:t>FinFET</w:t>
            </w:r>
            <w:proofErr w:type="spellEnd"/>
            <w:r>
              <w:rPr>
                <w:rStyle w:val="BlueMSJHBD-SB12pt"/>
              </w:rPr>
              <w:t xml:space="preserve"> ,</w:t>
            </w:r>
            <w:proofErr w:type="gramEnd"/>
            <w:r>
              <w:rPr>
                <w:rStyle w:val="BlueMSJHBD-SB12pt"/>
              </w:rPr>
              <w:t xml:space="preserve"> high frequency </w:t>
            </w:r>
            <w:proofErr w:type="spellStart"/>
            <w:r>
              <w:rPr>
                <w:rStyle w:val="BlueMSJHBD-SB12pt"/>
              </w:rPr>
              <w:t>GaN</w:t>
            </w:r>
            <w:proofErr w:type="spellEnd"/>
            <w:r>
              <w:rPr>
                <w:rStyle w:val="BlueMSJHBD-SB12pt"/>
              </w:rPr>
              <w:t xml:space="preserve"> CMOS, 2D material and devices, THz technology, quantum structures, spintronics, hetero epitaxy and device processing &amp; characte</w:t>
            </w:r>
            <w:r>
              <w:rPr>
                <w:rStyle w:val="BlueMSJHBD-SB12pt"/>
              </w:rPr>
              <w:t xml:space="preserve">rization . Various commercial applications of such technology to be covered.  Note: Course will be taught by professor Krishna </w:t>
            </w:r>
            <w:proofErr w:type="spellStart"/>
            <w:r>
              <w:rPr>
                <w:rStyle w:val="BlueMSJHBD-SB12pt"/>
              </w:rPr>
              <w:t>Pande</w:t>
            </w:r>
            <w:proofErr w:type="spellEnd"/>
            <w:r>
              <w:rPr>
                <w:rStyle w:val="BlueMSJHBD-SB12pt"/>
              </w:rPr>
              <w:t xml:space="preserve"> (Fellow of IEEE and pioneer of </w:t>
            </w:r>
            <w:proofErr w:type="spellStart"/>
            <w:r>
              <w:rPr>
                <w:rStyle w:val="BlueMSJHBD-SB12pt"/>
              </w:rPr>
              <w:t>InP</w:t>
            </w:r>
            <w:proofErr w:type="spellEnd"/>
            <w:r>
              <w:rPr>
                <w:rStyle w:val="BlueMSJHBD-SB12pt"/>
              </w:rPr>
              <w:t xml:space="preserve"> technology) both online and in class room.  </w:t>
            </w:r>
          </w:p>
        </w:tc>
      </w:tr>
      <w:tr w:rsidR="00140D5C" w14:paraId="3714C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6"/>
          </w:tcPr>
          <w:p w14:paraId="2C5CF549" w14:textId="77777777" w:rsidR="00140D5C" w:rsidRDefault="00D6123B">
            <w:pPr>
              <w:jc w:val="left"/>
            </w:pPr>
            <w:r>
              <w:rPr>
                <w:rStyle w:val="MSJHBD-SB12pt"/>
              </w:rPr>
              <w:t>課程概述與目標：</w:t>
            </w:r>
          </w:p>
          <w:p w14:paraId="053AAD3E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This graduate level course will c</w:t>
            </w:r>
            <w:r>
              <w:rPr>
                <w:rStyle w:val="BlueMSJHBD-SB12pt"/>
              </w:rPr>
              <w:t xml:space="preserve">over:  Physics, modeling, properties, bandgap engineering, device fabrication, design and application of compound semiconductor devices. Emphasis will be placed on high frequency HEMT, HBT, 2-D </w:t>
            </w:r>
            <w:proofErr w:type="gramStart"/>
            <w:r>
              <w:rPr>
                <w:rStyle w:val="BlueMSJHBD-SB12pt"/>
              </w:rPr>
              <w:t>material based</w:t>
            </w:r>
            <w:proofErr w:type="gramEnd"/>
            <w:r>
              <w:rPr>
                <w:rStyle w:val="BlueMSJHBD-SB12pt"/>
              </w:rPr>
              <w:t xml:space="preserve"> devices and Tera hertz technology.  Focus will </w:t>
            </w:r>
            <w:r>
              <w:rPr>
                <w:rStyle w:val="BlueMSJHBD-SB12pt"/>
              </w:rPr>
              <w:t xml:space="preserve">be on </w:t>
            </w:r>
            <w:proofErr w:type="spellStart"/>
            <w:r>
              <w:rPr>
                <w:rStyle w:val="BlueMSJHBD-SB12pt"/>
              </w:rPr>
              <w:t>GaN</w:t>
            </w:r>
            <w:proofErr w:type="spellEnd"/>
            <w:r>
              <w:rPr>
                <w:rStyle w:val="BlueMSJHBD-SB12pt"/>
              </w:rPr>
              <w:t xml:space="preserve"> hetero </w:t>
            </w:r>
            <w:proofErr w:type="gramStart"/>
            <w:r>
              <w:rPr>
                <w:rStyle w:val="BlueMSJHBD-SB12pt"/>
              </w:rPr>
              <w:t>structure based</w:t>
            </w:r>
            <w:proofErr w:type="gramEnd"/>
            <w:r>
              <w:rPr>
                <w:rStyle w:val="BlueMSJHBD-SB12pt"/>
              </w:rPr>
              <w:t xml:space="preserve"> devices, hetero epitaxy, fabrication and applications. On hand training using S-parameter, smith chart concerning the application of devices will be provided. Discussion on hetero epitaxial devices will consist of on chip f</w:t>
            </w:r>
            <w:r>
              <w:rPr>
                <w:rStyle w:val="BlueMSJHBD-SB12pt"/>
              </w:rPr>
              <w:t xml:space="preserve">abrication of microwave, photonic and digital devices. Packaging, combining and integration of chips will be discussed. Discussion will be on chip receiver including components like LNA, antenna. </w:t>
            </w:r>
          </w:p>
        </w:tc>
      </w:tr>
      <w:tr w:rsidR="00140D5C" w14:paraId="5E142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gridSpan w:val="2"/>
          </w:tcPr>
          <w:p w14:paraId="3432DC10" w14:textId="77777777" w:rsidR="00140D5C" w:rsidRDefault="00D6123B">
            <w:pPr>
              <w:jc w:val="left"/>
            </w:pPr>
            <w:r>
              <w:rPr>
                <w:rStyle w:val="MSJHBD-SB12pt"/>
              </w:rPr>
              <w:t>教科書（請註明書名、作者、出版社、出版年等資訊）：</w:t>
            </w:r>
          </w:p>
        </w:tc>
        <w:tc>
          <w:tcPr>
            <w:tcW w:w="5000" w:type="dxa"/>
            <w:gridSpan w:val="4"/>
          </w:tcPr>
          <w:p w14:paraId="1E3122E3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No good text book (under evaluat</w:t>
            </w:r>
            <w:r>
              <w:rPr>
                <w:rStyle w:val="BlueMSJHBD-SB12pt"/>
              </w:rPr>
              <w:t>ion) is available currently. Hence instructor notes will be used for teaching. However, following books will be consulted (all of these books are available in NCTU library):</w:t>
            </w:r>
            <w:r>
              <w:rPr>
                <w:rStyle w:val="BlueMSJHBD-SB12pt"/>
              </w:rPr>
              <w:br/>
              <w:t xml:space="preserve">1) Compound semiconductor materials and devices Morgan </w:t>
            </w:r>
            <w:r>
              <w:rPr>
                <w:rStyle w:val="BlueMSJHBD-SB12pt"/>
              </w:rPr>
              <w:t>＆</w:t>
            </w:r>
            <w:r>
              <w:rPr>
                <w:rStyle w:val="BlueMSJHBD-SB12pt"/>
              </w:rPr>
              <w:lastRenderedPageBreak/>
              <w:t xml:space="preserve">amp; Claypool Publishers, </w:t>
            </w:r>
            <w:r>
              <w:rPr>
                <w:rStyle w:val="BlueMSJHBD-SB12pt"/>
              </w:rPr>
              <w:t>2016.</w:t>
            </w:r>
            <w:r>
              <w:rPr>
                <w:rStyle w:val="BlueMSJHBD-SB12pt"/>
              </w:rPr>
              <w:br/>
              <w:t>2) Compound semiconductor technology, Colliver, David J. Dedham, Mass: Artech House c1976.</w:t>
            </w:r>
            <w:r>
              <w:rPr>
                <w:rStyle w:val="BlueMSJHBD-SB12pt"/>
              </w:rPr>
              <w:br/>
              <w:t xml:space="preserve">3) Compound semiconductor device modelling, </w:t>
            </w:r>
            <w:proofErr w:type="gramStart"/>
            <w:r>
              <w:rPr>
                <w:rStyle w:val="BlueMSJHBD-SB12pt"/>
              </w:rPr>
              <w:t>London :</w:t>
            </w:r>
            <w:proofErr w:type="gramEnd"/>
            <w:r>
              <w:rPr>
                <w:rStyle w:val="BlueMSJHBD-SB12pt"/>
              </w:rPr>
              <w:t xml:space="preserve"> Springer-Verlag c1993.</w:t>
            </w:r>
            <w:r>
              <w:rPr>
                <w:rStyle w:val="BlueMSJHBD-SB12pt"/>
              </w:rPr>
              <w:br/>
            </w:r>
          </w:p>
        </w:tc>
      </w:tr>
    </w:tbl>
    <w:tbl>
      <w:tblPr>
        <w:tblStyle w:val="outlineTable"/>
        <w:tblW w:w="0" w:type="auto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3465"/>
        <w:gridCol w:w="755"/>
        <w:gridCol w:w="755"/>
        <w:gridCol w:w="755"/>
        <w:gridCol w:w="755"/>
        <w:gridCol w:w="2115"/>
      </w:tblGrid>
      <w:tr w:rsidR="00140D5C" w14:paraId="68B56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0" w:type="dxa"/>
            <w:gridSpan w:val="2"/>
          </w:tcPr>
          <w:p w14:paraId="4614B8CA" w14:textId="77777777" w:rsidR="00140D5C" w:rsidRDefault="00D6123B">
            <w:pPr>
              <w:jc w:val="center"/>
            </w:pPr>
            <w:r>
              <w:rPr>
                <w:rStyle w:val="MSJHBD-SB12pt"/>
              </w:rPr>
              <w:lastRenderedPageBreak/>
              <w:t>課程大網</w:t>
            </w:r>
          </w:p>
        </w:tc>
        <w:tc>
          <w:tcPr>
            <w:tcW w:w="2000" w:type="dxa"/>
            <w:gridSpan w:val="4"/>
          </w:tcPr>
          <w:p w14:paraId="2401E624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分配時數</w:t>
            </w:r>
          </w:p>
        </w:tc>
        <w:tc>
          <w:tcPr>
            <w:tcW w:w="3000" w:type="dxa"/>
            <w:vMerge w:val="restart"/>
          </w:tcPr>
          <w:p w14:paraId="77E6B4DD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備註</w:t>
            </w:r>
          </w:p>
        </w:tc>
      </w:tr>
      <w:tr w:rsidR="00140D5C" w14:paraId="69493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</w:tcPr>
          <w:p w14:paraId="135F2990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單元主題</w:t>
            </w:r>
          </w:p>
        </w:tc>
        <w:tc>
          <w:tcPr>
            <w:tcW w:w="3000" w:type="dxa"/>
          </w:tcPr>
          <w:p w14:paraId="44CA22F9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內容綱要</w:t>
            </w:r>
          </w:p>
        </w:tc>
        <w:tc>
          <w:tcPr>
            <w:tcW w:w="1000" w:type="dxa"/>
          </w:tcPr>
          <w:p w14:paraId="19AC8400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講授</w:t>
            </w:r>
          </w:p>
        </w:tc>
        <w:tc>
          <w:tcPr>
            <w:tcW w:w="1000" w:type="dxa"/>
          </w:tcPr>
          <w:p w14:paraId="0A50A9CD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示範</w:t>
            </w:r>
          </w:p>
        </w:tc>
        <w:tc>
          <w:tcPr>
            <w:tcW w:w="1000" w:type="dxa"/>
          </w:tcPr>
          <w:p w14:paraId="538EE0FB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習作</w:t>
            </w:r>
          </w:p>
        </w:tc>
        <w:tc>
          <w:tcPr>
            <w:tcW w:w="1000" w:type="dxa"/>
          </w:tcPr>
          <w:p w14:paraId="2B59F046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其他</w:t>
            </w:r>
          </w:p>
        </w:tc>
        <w:tc>
          <w:tcPr>
            <w:tcW w:w="3000" w:type="dxa"/>
            <w:vMerge/>
          </w:tcPr>
          <w:p w14:paraId="34638745" w14:textId="77777777" w:rsidR="00140D5C" w:rsidRDefault="00140D5C">
            <w:pPr>
              <w:jc w:val="center"/>
            </w:pPr>
          </w:p>
        </w:tc>
      </w:tr>
    </w:tbl>
    <w:tbl>
      <w:tblPr>
        <w:tblStyle w:val="descriptionDataTable"/>
        <w:tblW w:w="0" w:type="auto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884"/>
        <w:gridCol w:w="1843"/>
        <w:gridCol w:w="3546"/>
      </w:tblGrid>
      <w:tr w:rsidR="00140D5C" w14:paraId="57ABC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4"/>
          </w:tcPr>
          <w:p w14:paraId="3852B30D" w14:textId="77777777" w:rsidR="00140D5C" w:rsidRDefault="00D6123B">
            <w:pPr>
              <w:jc w:val="left"/>
            </w:pPr>
            <w:r>
              <w:rPr>
                <w:rStyle w:val="MSJHBD-SB12pt"/>
              </w:rPr>
              <w:t>教學要點概述：</w:t>
            </w:r>
          </w:p>
        </w:tc>
      </w:tr>
      <w:tr w:rsidR="00140D5C" w14:paraId="194EE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4"/>
          </w:tcPr>
          <w:p w14:paraId="74228107" w14:textId="77777777" w:rsidR="00140D5C" w:rsidRDefault="00D6123B">
            <w:pPr>
              <w:jc w:val="left"/>
            </w:pPr>
            <w:r>
              <w:rPr>
                <w:rStyle w:val="MSJHBD-SB12pt"/>
              </w:rPr>
              <w:t>1.</w:t>
            </w:r>
            <w:r>
              <w:rPr>
                <w:rStyle w:val="MSJHBD-SB12pt"/>
              </w:rPr>
              <w:t>學期作業、考試、評量</w:t>
            </w:r>
          </w:p>
          <w:p w14:paraId="6ABCDBE2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1) Midterm Exam: 30%</w:t>
            </w:r>
            <w:r>
              <w:rPr>
                <w:rStyle w:val="BlueMSJHBD-SB12pt"/>
              </w:rPr>
              <w:br/>
              <w:t>2) Final exam- 30%</w:t>
            </w:r>
            <w:r>
              <w:rPr>
                <w:rStyle w:val="BlueMSJHBD-SB12pt"/>
              </w:rPr>
              <w:br/>
              <w:t>3) Final Presentation-40%</w:t>
            </w:r>
            <w:r>
              <w:rPr>
                <w:rStyle w:val="BlueMSJHBD-SB12pt"/>
              </w:rPr>
              <w:br/>
            </w:r>
          </w:p>
          <w:p w14:paraId="6A4C4E22" w14:textId="77777777" w:rsidR="00140D5C" w:rsidRDefault="00D6123B">
            <w:pPr>
              <w:jc w:val="left"/>
            </w:pPr>
            <w:r>
              <w:rPr>
                <w:rStyle w:val="MSJHBD-SB12pt"/>
              </w:rPr>
              <w:t>2.</w:t>
            </w:r>
            <w:r>
              <w:rPr>
                <w:rStyle w:val="MSJHBD-SB12pt"/>
              </w:rPr>
              <w:t>教學方法及教學相關配合事項（如助教、網站或圖書及資料庫等）</w:t>
            </w:r>
          </w:p>
          <w:p w14:paraId="0C5E50D0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Lecture notes will be provided by TA's.</w:t>
            </w:r>
          </w:p>
        </w:tc>
      </w:tr>
      <w:tr w:rsidR="00140D5C" w14:paraId="56E95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Merge w:val="restart"/>
          </w:tcPr>
          <w:p w14:paraId="0257F9C7" w14:textId="77777777" w:rsidR="00140D5C" w:rsidRDefault="00D6123B">
            <w:pPr>
              <w:jc w:val="left"/>
            </w:pPr>
            <w:r>
              <w:rPr>
                <w:rStyle w:val="MSJHBD-SB12pt"/>
              </w:rPr>
              <w:t>師生晤談</w:t>
            </w:r>
          </w:p>
        </w:tc>
        <w:tc>
          <w:tcPr>
            <w:tcW w:w="5000" w:type="dxa"/>
          </w:tcPr>
          <w:p w14:paraId="0415F3E1" w14:textId="77777777" w:rsidR="00140D5C" w:rsidRDefault="00D6123B">
            <w:pPr>
              <w:jc w:val="left"/>
            </w:pPr>
            <w:r>
              <w:rPr>
                <w:rStyle w:val="MSJHBD-SB12pt"/>
              </w:rPr>
              <w:t>排定時間</w:t>
            </w:r>
          </w:p>
        </w:tc>
        <w:tc>
          <w:tcPr>
            <w:tcW w:w="2000" w:type="dxa"/>
          </w:tcPr>
          <w:p w14:paraId="5939B523" w14:textId="77777777" w:rsidR="00140D5C" w:rsidRDefault="00D6123B">
            <w:pPr>
              <w:jc w:val="left"/>
            </w:pPr>
            <w:r>
              <w:rPr>
                <w:rStyle w:val="MSJHBD-SB12pt"/>
              </w:rPr>
              <w:t>地點</w:t>
            </w:r>
          </w:p>
        </w:tc>
        <w:tc>
          <w:tcPr>
            <w:tcW w:w="4000" w:type="dxa"/>
          </w:tcPr>
          <w:p w14:paraId="15E6EB9B" w14:textId="77777777" w:rsidR="00140D5C" w:rsidRDefault="00D6123B">
            <w:pPr>
              <w:jc w:val="left"/>
            </w:pPr>
            <w:r>
              <w:rPr>
                <w:rStyle w:val="MSJHBD-SB12pt"/>
              </w:rPr>
              <w:t>聯絡方式</w:t>
            </w:r>
          </w:p>
        </w:tc>
      </w:tr>
      <w:tr w:rsidR="00140D5C" w14:paraId="22E79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Merge/>
          </w:tcPr>
          <w:p w14:paraId="502501D4" w14:textId="77777777" w:rsidR="00140D5C" w:rsidRDefault="00140D5C">
            <w:pPr>
              <w:jc w:val="left"/>
            </w:pPr>
          </w:p>
        </w:tc>
        <w:tc>
          <w:tcPr>
            <w:tcW w:w="5000" w:type="dxa"/>
          </w:tcPr>
          <w:p w14:paraId="36C3FA82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By Appointment</w:t>
            </w:r>
          </w:p>
        </w:tc>
        <w:tc>
          <w:tcPr>
            <w:tcW w:w="2000" w:type="dxa"/>
          </w:tcPr>
          <w:p w14:paraId="176E1490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By Appointment</w:t>
            </w:r>
          </w:p>
        </w:tc>
        <w:tc>
          <w:tcPr>
            <w:tcW w:w="4000" w:type="dxa"/>
          </w:tcPr>
          <w:p w14:paraId="751788CA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kppande@nctu.edu.tw</w:t>
            </w:r>
          </w:p>
        </w:tc>
      </w:tr>
    </w:tbl>
    <w:tbl>
      <w:tblPr>
        <w:tblStyle w:val="syllabusDataTable"/>
        <w:tblW w:w="0" w:type="auto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71"/>
        <w:gridCol w:w="8092"/>
      </w:tblGrid>
      <w:tr w:rsidR="00140D5C" w14:paraId="306FF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3"/>
          </w:tcPr>
          <w:p w14:paraId="2A3AE500" w14:textId="77777777" w:rsidR="00140D5C" w:rsidRDefault="00D6123B">
            <w:pPr>
              <w:jc w:val="left"/>
            </w:pPr>
            <w:r>
              <w:rPr>
                <w:rStyle w:val="MSJHBD-SB12pt"/>
              </w:rPr>
              <w:t>每週進度表</w:t>
            </w:r>
          </w:p>
        </w:tc>
      </w:tr>
      <w:tr w:rsidR="00140D5C" w14:paraId="4E5B7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5376E1A2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週次</w:t>
            </w:r>
          </w:p>
        </w:tc>
        <w:tc>
          <w:tcPr>
            <w:tcW w:w="2500" w:type="dxa"/>
          </w:tcPr>
          <w:p w14:paraId="12BAE32A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上課日期</w:t>
            </w:r>
          </w:p>
        </w:tc>
        <w:tc>
          <w:tcPr>
            <w:tcW w:w="7000" w:type="dxa"/>
          </w:tcPr>
          <w:p w14:paraId="26A97789" w14:textId="77777777" w:rsidR="00140D5C" w:rsidRDefault="00D6123B">
            <w:pPr>
              <w:jc w:val="center"/>
            </w:pPr>
            <w:r>
              <w:rPr>
                <w:rStyle w:val="MSJHBD-SB12pt"/>
              </w:rPr>
              <w:t>課程進度、內容、主題</w:t>
            </w:r>
          </w:p>
        </w:tc>
      </w:tr>
      <w:tr w:rsidR="00140D5C" w14:paraId="26124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26ABB6DC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</w:t>
            </w:r>
          </w:p>
        </w:tc>
        <w:tc>
          <w:tcPr>
            <w:tcW w:w="2500" w:type="dxa"/>
          </w:tcPr>
          <w:p w14:paraId="2492ED24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2/26</w:t>
            </w:r>
          </w:p>
        </w:tc>
        <w:tc>
          <w:tcPr>
            <w:tcW w:w="7000" w:type="dxa"/>
          </w:tcPr>
          <w:p w14:paraId="33A0420A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Introduction to current state of the art and future technology. </w:t>
            </w:r>
          </w:p>
        </w:tc>
      </w:tr>
      <w:tr w:rsidR="00140D5C" w14:paraId="41739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26A64B50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2</w:t>
            </w:r>
          </w:p>
        </w:tc>
        <w:tc>
          <w:tcPr>
            <w:tcW w:w="2500" w:type="dxa"/>
          </w:tcPr>
          <w:p w14:paraId="54A40FFB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3/5</w:t>
            </w:r>
          </w:p>
        </w:tc>
        <w:tc>
          <w:tcPr>
            <w:tcW w:w="7000" w:type="dxa"/>
          </w:tcPr>
          <w:p w14:paraId="3505FACF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Physics, modeling, bandgap engineering of </w:t>
            </w:r>
            <w:proofErr w:type="spellStart"/>
            <w:r>
              <w:rPr>
                <w:rStyle w:val="BlueMSJHBD-SB12pt"/>
              </w:rPr>
              <w:t>GaN</w:t>
            </w:r>
            <w:proofErr w:type="spellEnd"/>
            <w:r>
              <w:rPr>
                <w:rStyle w:val="BlueMSJHBD-SB12pt"/>
              </w:rPr>
              <w:t xml:space="preserve"> HEMT and </w:t>
            </w:r>
            <w:proofErr w:type="spellStart"/>
            <w:r>
              <w:rPr>
                <w:rStyle w:val="BlueMSJHBD-SB12pt"/>
              </w:rPr>
              <w:t>InP</w:t>
            </w:r>
            <w:proofErr w:type="spellEnd"/>
            <w:r>
              <w:rPr>
                <w:rStyle w:val="BlueMSJHBD-SB12pt"/>
              </w:rPr>
              <w:t xml:space="preserve"> HBT.</w:t>
            </w:r>
          </w:p>
        </w:tc>
      </w:tr>
      <w:tr w:rsidR="00140D5C" w14:paraId="3B408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0B566119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3</w:t>
            </w:r>
          </w:p>
        </w:tc>
        <w:tc>
          <w:tcPr>
            <w:tcW w:w="2500" w:type="dxa"/>
          </w:tcPr>
          <w:p w14:paraId="0BD7AB24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3/12</w:t>
            </w:r>
          </w:p>
        </w:tc>
        <w:tc>
          <w:tcPr>
            <w:tcW w:w="7000" w:type="dxa"/>
          </w:tcPr>
          <w:p w14:paraId="6BCD3A40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Growth and fabrication of next gen compound semiconductor devices with commercial applications (for example high frequency HEMT and HBT).  </w:t>
            </w:r>
          </w:p>
        </w:tc>
      </w:tr>
      <w:tr w:rsidR="00140D5C" w14:paraId="64A2B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36D1E595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4</w:t>
            </w:r>
          </w:p>
        </w:tc>
        <w:tc>
          <w:tcPr>
            <w:tcW w:w="2500" w:type="dxa"/>
          </w:tcPr>
          <w:p w14:paraId="2D61486A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3/19</w:t>
            </w:r>
          </w:p>
        </w:tc>
        <w:tc>
          <w:tcPr>
            <w:tcW w:w="7000" w:type="dxa"/>
          </w:tcPr>
          <w:p w14:paraId="0823E8B2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Growth and fabrication of next gen compound semiconductor devices with commercial applications (for example </w:t>
            </w:r>
            <w:r>
              <w:rPr>
                <w:rStyle w:val="BlueMSJHBD-SB12pt"/>
              </w:rPr>
              <w:t xml:space="preserve">high frequency HEMT and HBT).  </w:t>
            </w:r>
          </w:p>
        </w:tc>
      </w:tr>
      <w:tr w:rsidR="00140D5C" w14:paraId="76F0D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50F38969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4</w:t>
            </w:r>
          </w:p>
        </w:tc>
        <w:tc>
          <w:tcPr>
            <w:tcW w:w="2500" w:type="dxa"/>
          </w:tcPr>
          <w:p w14:paraId="29EB651A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3/26</w:t>
            </w:r>
          </w:p>
        </w:tc>
        <w:tc>
          <w:tcPr>
            <w:tcW w:w="7000" w:type="dxa"/>
          </w:tcPr>
          <w:p w14:paraId="469255C2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Device packaging and testing. </w:t>
            </w:r>
          </w:p>
        </w:tc>
      </w:tr>
      <w:tr w:rsidR="00140D5C" w14:paraId="68DF6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11CD2DE6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6</w:t>
            </w:r>
          </w:p>
        </w:tc>
        <w:tc>
          <w:tcPr>
            <w:tcW w:w="2500" w:type="dxa"/>
          </w:tcPr>
          <w:p w14:paraId="07668D53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4/2</w:t>
            </w:r>
          </w:p>
        </w:tc>
        <w:tc>
          <w:tcPr>
            <w:tcW w:w="7000" w:type="dxa"/>
          </w:tcPr>
          <w:p w14:paraId="0448688C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Holiday adjustment </w:t>
            </w:r>
          </w:p>
        </w:tc>
      </w:tr>
      <w:tr w:rsidR="00140D5C" w14:paraId="46518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5DE2E8E6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lastRenderedPageBreak/>
              <w:t>7</w:t>
            </w:r>
          </w:p>
        </w:tc>
        <w:tc>
          <w:tcPr>
            <w:tcW w:w="2500" w:type="dxa"/>
          </w:tcPr>
          <w:p w14:paraId="650DA2FC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4/9</w:t>
            </w:r>
          </w:p>
        </w:tc>
        <w:tc>
          <w:tcPr>
            <w:tcW w:w="7000" w:type="dxa"/>
          </w:tcPr>
          <w:p w14:paraId="573278CF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Hetero epitaxy and stacking of microwave, photonics and digital devices on a chip.</w:t>
            </w:r>
          </w:p>
        </w:tc>
      </w:tr>
      <w:tr w:rsidR="00140D5C" w14:paraId="4EA22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3FAF3C87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8</w:t>
            </w:r>
          </w:p>
        </w:tc>
        <w:tc>
          <w:tcPr>
            <w:tcW w:w="2500" w:type="dxa"/>
          </w:tcPr>
          <w:p w14:paraId="40B1DC63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8</w:t>
            </w:r>
            <w:r>
              <w:rPr>
                <w:rStyle w:val="BlueMSJHBD-SB12pt"/>
              </w:rPr>
              <w:tab/>
              <w:t>4/16</w:t>
            </w:r>
          </w:p>
        </w:tc>
        <w:tc>
          <w:tcPr>
            <w:tcW w:w="7000" w:type="dxa"/>
          </w:tcPr>
          <w:p w14:paraId="02609789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Midterm Exam</w:t>
            </w:r>
          </w:p>
        </w:tc>
      </w:tr>
      <w:tr w:rsidR="00140D5C" w14:paraId="56E79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3DBA63DA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9</w:t>
            </w:r>
          </w:p>
        </w:tc>
        <w:tc>
          <w:tcPr>
            <w:tcW w:w="2500" w:type="dxa"/>
          </w:tcPr>
          <w:p w14:paraId="32957212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4/23</w:t>
            </w:r>
          </w:p>
        </w:tc>
        <w:tc>
          <w:tcPr>
            <w:tcW w:w="7000" w:type="dxa"/>
          </w:tcPr>
          <w:p w14:paraId="2A45E825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2-D materials and </w:t>
            </w:r>
            <w:proofErr w:type="gramStart"/>
            <w:r>
              <w:rPr>
                <w:rStyle w:val="BlueMSJHBD-SB12pt"/>
              </w:rPr>
              <w:t>devices,.</w:t>
            </w:r>
            <w:proofErr w:type="gramEnd"/>
            <w:r>
              <w:rPr>
                <w:rStyle w:val="BlueMSJHBD-SB12pt"/>
              </w:rPr>
              <w:t xml:space="preserve"> </w:t>
            </w:r>
          </w:p>
        </w:tc>
      </w:tr>
      <w:tr w:rsidR="00140D5C" w14:paraId="3C18A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0CC504D0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10</w:t>
            </w:r>
          </w:p>
        </w:tc>
        <w:tc>
          <w:tcPr>
            <w:tcW w:w="2500" w:type="dxa"/>
          </w:tcPr>
          <w:p w14:paraId="7D564CF7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4/30</w:t>
            </w:r>
          </w:p>
        </w:tc>
        <w:tc>
          <w:tcPr>
            <w:tcW w:w="7000" w:type="dxa"/>
          </w:tcPr>
          <w:p w14:paraId="72D3A2C7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Spintronics and quantum structures. </w:t>
            </w:r>
          </w:p>
        </w:tc>
      </w:tr>
      <w:tr w:rsidR="00140D5C" w14:paraId="41479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17D82A52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11</w:t>
            </w:r>
          </w:p>
        </w:tc>
        <w:tc>
          <w:tcPr>
            <w:tcW w:w="2500" w:type="dxa"/>
          </w:tcPr>
          <w:p w14:paraId="5ADC44BC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5/7</w:t>
            </w:r>
          </w:p>
        </w:tc>
        <w:tc>
          <w:tcPr>
            <w:tcW w:w="7000" w:type="dxa"/>
          </w:tcPr>
          <w:p w14:paraId="4F45BBEF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Tera hertz devices</w:t>
            </w:r>
          </w:p>
        </w:tc>
      </w:tr>
      <w:tr w:rsidR="00140D5C" w14:paraId="25FB4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73B676BA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12</w:t>
            </w:r>
          </w:p>
        </w:tc>
        <w:tc>
          <w:tcPr>
            <w:tcW w:w="2500" w:type="dxa"/>
          </w:tcPr>
          <w:p w14:paraId="39F5BB27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5/14</w:t>
            </w:r>
          </w:p>
        </w:tc>
        <w:tc>
          <w:tcPr>
            <w:tcW w:w="7000" w:type="dxa"/>
          </w:tcPr>
          <w:p w14:paraId="23198B21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Device characterization using S-parameters</w:t>
            </w:r>
          </w:p>
        </w:tc>
      </w:tr>
      <w:tr w:rsidR="00140D5C" w14:paraId="0B0B2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32FFA95F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13</w:t>
            </w:r>
          </w:p>
        </w:tc>
        <w:tc>
          <w:tcPr>
            <w:tcW w:w="2500" w:type="dxa"/>
          </w:tcPr>
          <w:p w14:paraId="1511756F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5/21</w:t>
            </w:r>
          </w:p>
        </w:tc>
        <w:tc>
          <w:tcPr>
            <w:tcW w:w="7000" w:type="dxa"/>
          </w:tcPr>
          <w:p w14:paraId="59D2E795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Device impedance evaluation using smith chart. </w:t>
            </w:r>
          </w:p>
        </w:tc>
      </w:tr>
      <w:tr w:rsidR="00140D5C" w14:paraId="411BE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46843457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14</w:t>
            </w:r>
          </w:p>
        </w:tc>
        <w:tc>
          <w:tcPr>
            <w:tcW w:w="2500" w:type="dxa"/>
          </w:tcPr>
          <w:p w14:paraId="58D8C306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5/28</w:t>
            </w:r>
          </w:p>
        </w:tc>
        <w:tc>
          <w:tcPr>
            <w:tcW w:w="7000" w:type="dxa"/>
          </w:tcPr>
          <w:p w14:paraId="0EBE99B8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Introduction to design software ADS and HFSS for on hand training. </w:t>
            </w:r>
          </w:p>
        </w:tc>
      </w:tr>
      <w:tr w:rsidR="00140D5C" w14:paraId="137CD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6699B4DD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15</w:t>
            </w:r>
          </w:p>
        </w:tc>
        <w:tc>
          <w:tcPr>
            <w:tcW w:w="2500" w:type="dxa"/>
          </w:tcPr>
          <w:p w14:paraId="31BC5E00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6/4</w:t>
            </w:r>
          </w:p>
        </w:tc>
        <w:tc>
          <w:tcPr>
            <w:tcW w:w="7000" w:type="dxa"/>
          </w:tcPr>
          <w:p w14:paraId="226EE611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Design and fabrication of receiver components, an example of device applications. </w:t>
            </w:r>
          </w:p>
        </w:tc>
      </w:tr>
      <w:tr w:rsidR="00140D5C" w14:paraId="73B8C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37A7DD4C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16</w:t>
            </w:r>
          </w:p>
        </w:tc>
        <w:tc>
          <w:tcPr>
            <w:tcW w:w="2500" w:type="dxa"/>
          </w:tcPr>
          <w:p w14:paraId="3DE16D0C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6/11</w:t>
            </w:r>
          </w:p>
        </w:tc>
        <w:tc>
          <w:tcPr>
            <w:tcW w:w="7000" w:type="dxa"/>
          </w:tcPr>
          <w:p w14:paraId="0C21474B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Presentation</w:t>
            </w:r>
          </w:p>
        </w:tc>
      </w:tr>
      <w:tr w:rsidR="00140D5C" w14:paraId="63A18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13597F1D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17</w:t>
            </w:r>
          </w:p>
        </w:tc>
        <w:tc>
          <w:tcPr>
            <w:tcW w:w="2500" w:type="dxa"/>
          </w:tcPr>
          <w:p w14:paraId="6B6E2591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6/18</w:t>
            </w:r>
          </w:p>
        </w:tc>
        <w:tc>
          <w:tcPr>
            <w:tcW w:w="7000" w:type="dxa"/>
          </w:tcPr>
          <w:p w14:paraId="7BA4280E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Final exa</w:t>
            </w:r>
            <w:r>
              <w:rPr>
                <w:rStyle w:val="BlueMSJHBD-SB12pt"/>
              </w:rPr>
              <w:t>m</w:t>
            </w:r>
          </w:p>
        </w:tc>
      </w:tr>
      <w:tr w:rsidR="00140D5C" w14:paraId="6F6CC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47F8052F" w14:textId="77777777" w:rsidR="00140D5C" w:rsidRDefault="00D6123B">
            <w:pPr>
              <w:jc w:val="center"/>
            </w:pPr>
            <w:r>
              <w:rPr>
                <w:rStyle w:val="BlueMSJHBD-SB12pt"/>
              </w:rPr>
              <w:t>18</w:t>
            </w:r>
          </w:p>
        </w:tc>
        <w:tc>
          <w:tcPr>
            <w:tcW w:w="2500" w:type="dxa"/>
          </w:tcPr>
          <w:p w14:paraId="10EBC487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>6/25</w:t>
            </w:r>
          </w:p>
        </w:tc>
        <w:tc>
          <w:tcPr>
            <w:tcW w:w="7000" w:type="dxa"/>
          </w:tcPr>
          <w:p w14:paraId="3FDF2A76" w14:textId="77777777" w:rsidR="00140D5C" w:rsidRDefault="00D6123B">
            <w:pPr>
              <w:jc w:val="left"/>
            </w:pPr>
            <w:r>
              <w:rPr>
                <w:rStyle w:val="BlueMSJHBD-SB12pt"/>
              </w:rPr>
              <w:t xml:space="preserve">On chip receiver, fabrication and testing. </w:t>
            </w:r>
          </w:p>
        </w:tc>
      </w:tr>
    </w:tbl>
    <w:tbl>
      <w:tblPr>
        <w:tblStyle w:val="note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140D5C" w14:paraId="75B90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</w:tcPr>
          <w:p w14:paraId="3BE5B0B6" w14:textId="77777777" w:rsidR="00140D5C" w:rsidRDefault="00D6123B">
            <w:pPr>
              <w:jc w:val="left"/>
            </w:pPr>
            <w:r>
              <w:rPr>
                <w:rStyle w:val="MSJHBD-SB12pt"/>
              </w:rPr>
              <w:t>備註：</w:t>
            </w:r>
          </w:p>
        </w:tc>
      </w:tr>
      <w:tr w:rsidR="00140D5C" w14:paraId="004CB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</w:tcPr>
          <w:p w14:paraId="561F0D43" w14:textId="77777777" w:rsidR="00140D5C" w:rsidRDefault="00D6123B">
            <w:pPr>
              <w:jc w:val="left"/>
            </w:pPr>
            <w:r>
              <w:rPr>
                <w:rStyle w:val="MSJHBD-SB12pt"/>
              </w:rPr>
              <w:t>1.</w:t>
            </w:r>
            <w:r>
              <w:rPr>
                <w:rStyle w:val="MSJHBD-SB12pt"/>
              </w:rPr>
              <w:t>請遵守智慧財產權觀念及勿使用不法影印教科書。</w:t>
            </w:r>
          </w:p>
        </w:tc>
      </w:tr>
      <w:tr w:rsidR="00140D5C" w14:paraId="7A105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</w:tcPr>
          <w:p w14:paraId="19AC178E" w14:textId="77777777" w:rsidR="00140D5C" w:rsidRDefault="00D6123B">
            <w:pPr>
              <w:jc w:val="left"/>
            </w:pPr>
            <w:r>
              <w:rPr>
                <w:rStyle w:val="MSJHBD-SB12pt"/>
              </w:rPr>
              <w:t>2.</w:t>
            </w:r>
            <w:r>
              <w:rPr>
                <w:rStyle w:val="MSJHBD-SB12pt"/>
              </w:rPr>
              <w:t>其他欄包含參訪、專題演講等活動。</w:t>
            </w:r>
          </w:p>
        </w:tc>
      </w:tr>
      <w:tr w:rsidR="00140D5C" w14:paraId="3A887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</w:tcPr>
          <w:p w14:paraId="5F32CA51" w14:textId="77777777" w:rsidR="00140D5C" w:rsidRDefault="00D6123B">
            <w:pPr>
              <w:jc w:val="center"/>
            </w:pPr>
            <w:r>
              <w:rPr>
                <w:rStyle w:val="MSJHBD-SB12pt"/>
              </w:rPr>
              <w:t xml:space="preserve"> Copyright©2019 National Chiao Tung University ALL RIGHTS RESERVED.</w:t>
            </w:r>
          </w:p>
        </w:tc>
      </w:tr>
    </w:tbl>
    <w:p w14:paraId="1F452826" w14:textId="77777777" w:rsidR="00D6123B" w:rsidRDefault="00D6123B"/>
    <w:sectPr w:rsidR="00D6123B">
      <w:pgSz w:w="11905" w:h="16837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5C"/>
    <w:rsid w:val="00140D5C"/>
    <w:rsid w:val="008C0170"/>
    <w:rsid w:val="00D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05C1"/>
  <w15:docId w15:val="{5F23EBEF-3D3B-46A2-B057-7EE51A62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JhengHei" w:eastAsia="Microsoft JhengHei" w:hAnsi="Microsoft JhengHei" w:cs="Microsoft JhengHe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5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SJHBD-SB16pt">
    <w:name w:val="MSJHBD-SB16pt"/>
    <w:rPr>
      <w:rFonts w:ascii="Microsoft JhengHei" w:eastAsia="Microsoft JhengHei" w:hAnsi="Microsoft JhengHei" w:cs="Microsoft JhengHei"/>
      <w:sz w:val="32"/>
      <w:szCs w:val="32"/>
    </w:rPr>
  </w:style>
  <w:style w:type="character" w:customStyle="1" w:styleId="MSJHBD-SB12pt">
    <w:name w:val="MSJHBD-SB12pt"/>
    <w:rPr>
      <w:rFonts w:ascii="Microsoft JhengHei" w:eastAsia="Microsoft JhengHei" w:hAnsi="Microsoft JhengHei" w:cs="Microsoft JhengHei"/>
      <w:sz w:val="24"/>
      <w:szCs w:val="24"/>
    </w:rPr>
  </w:style>
  <w:style w:type="character" w:customStyle="1" w:styleId="RedMSJHBD-SB12pt">
    <w:name w:val="RedMSJHBD-SB12pt"/>
    <w:rPr>
      <w:rFonts w:ascii="Microsoft JhengHei" w:eastAsia="Microsoft JhengHei" w:hAnsi="Microsoft JhengHei" w:cs="Microsoft JhengHei"/>
      <w:color w:val="FF0000"/>
      <w:sz w:val="24"/>
      <w:szCs w:val="24"/>
    </w:rPr>
  </w:style>
  <w:style w:type="character" w:customStyle="1" w:styleId="BlueMSJHBD-SB12pt">
    <w:name w:val="BlueMSJHBD-SB12pt"/>
    <w:rPr>
      <w:rFonts w:ascii="Microsoft JhengHei" w:eastAsia="Microsoft JhengHei" w:hAnsi="Microsoft JhengHei" w:cs="Microsoft JhengHei"/>
      <w:color w:val="0000FF"/>
      <w:sz w:val="24"/>
      <w:szCs w:val="24"/>
    </w:rPr>
  </w:style>
  <w:style w:type="character" w:customStyle="1" w:styleId="DFKai-SB18pt">
    <w:name w:val="DFKai-SB18pt"/>
    <w:rPr>
      <w:rFonts w:ascii="DFKai-SB" w:eastAsia="DFKai-SB" w:hAnsi="DFKai-SB" w:cs="DFKai-SB"/>
      <w:sz w:val="36"/>
      <w:szCs w:val="36"/>
    </w:rPr>
  </w:style>
  <w:style w:type="character" w:customStyle="1" w:styleId="DFKai-SB12pt">
    <w:name w:val="DFKai-SB12pt"/>
    <w:rPr>
      <w:rFonts w:ascii="DFKai-SB" w:eastAsia="DFKai-SB" w:hAnsi="DFKai-SB" w:cs="DFKai-SB"/>
      <w:sz w:val="24"/>
      <w:szCs w:val="24"/>
    </w:rPr>
  </w:style>
  <w:style w:type="character" w:customStyle="1" w:styleId="RedDFKai-SB12pt">
    <w:name w:val="RedDFKai-SB12pt"/>
    <w:rPr>
      <w:rFonts w:ascii="DFKai-SB" w:eastAsia="DFKai-SB" w:hAnsi="DFKai-SB" w:cs="DFKai-SB"/>
      <w:color w:val="FF0000"/>
      <w:sz w:val="24"/>
      <w:szCs w:val="24"/>
    </w:rPr>
  </w:style>
  <w:style w:type="character" w:customStyle="1" w:styleId="BlueDFKai-SB12pt">
    <w:name w:val="BlueDFKai-SB12pt"/>
    <w:rPr>
      <w:rFonts w:ascii="DFKai-SB" w:eastAsia="DFKai-SB" w:hAnsi="DFKai-SB" w:cs="DFKai-SB"/>
      <w:color w:val="0000FF"/>
      <w:sz w:val="24"/>
      <w:szCs w:val="24"/>
    </w:rPr>
  </w:style>
  <w:style w:type="table" w:customStyle="1" w:styleId="myTable">
    <w:name w:val="myTable"/>
    <w:uiPriority w:val="99"/>
    <w:tblPr>
      <w:tblBorders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outlineTable">
    <w:name w:val="outlineTable"/>
    <w:uiPriority w:val="99"/>
    <w:tblPr>
      <w:tblBorders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scriptionDataTable">
    <w:name w:val="descriptionDataTable"/>
    <w:uiPriority w:val="99"/>
    <w:tblPr>
      <w:tblBorders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yllabusDataTable">
    <w:name w:val="syllabusDataTable"/>
    <w:uiPriority w:val="99"/>
    <w:tblPr>
      <w:tblBorders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teTable">
    <w:name w:val="noteTable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Manager/>
  <Company>NCTU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國立陽明交通大學課務管理系統之選課系統</dc:title>
  <dc:subject/>
  <dc:creator>National Chiao Tung University Curriculum Management System</dc:creator>
  <cp:keywords/>
  <dc:description>https://ccms.nycu.edu.tw</dc:description>
  <cp:lastModifiedBy>USER</cp:lastModifiedBy>
  <cp:revision>2</cp:revision>
  <dcterms:created xsi:type="dcterms:W3CDTF">2021-02-17T04:05:00Z</dcterms:created>
  <dcterms:modified xsi:type="dcterms:W3CDTF">2021-02-17T04:05:00Z</dcterms:modified>
  <cp:category/>
</cp:coreProperties>
</file>