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92BA41" w14:textId="77777777" w:rsidR="00B213E7" w:rsidRDefault="00C230C1">
      <w:pPr>
        <w:jc w:val="center"/>
      </w:pPr>
      <w:r>
        <w:rPr>
          <w:rStyle w:val="MSJHBD-SB16pt"/>
        </w:rPr>
        <w:t>109</w:t>
      </w:r>
      <w:r>
        <w:rPr>
          <w:rStyle w:val="MSJHBD-SB16pt"/>
        </w:rPr>
        <w:t>學年度</w:t>
      </w:r>
      <w:r>
        <w:rPr>
          <w:rStyle w:val="MSJHBD-SB16pt"/>
        </w:rPr>
        <w:t xml:space="preserve"> </w:t>
      </w:r>
      <w:r>
        <w:rPr>
          <w:rStyle w:val="MSJHBD-SB16pt"/>
        </w:rPr>
        <w:t>第</w:t>
      </w:r>
      <w:r>
        <w:rPr>
          <w:rStyle w:val="MSJHBD-SB16pt"/>
        </w:rPr>
        <w:t>2</w:t>
      </w:r>
      <w:r>
        <w:rPr>
          <w:rStyle w:val="MSJHBD-SB16pt"/>
        </w:rPr>
        <w:t>學期</w:t>
      </w:r>
      <w:r>
        <w:rPr>
          <w:rStyle w:val="MSJHBD-SB16pt"/>
        </w:rPr>
        <w:t xml:space="preserve"> </w:t>
      </w:r>
      <w:r>
        <w:rPr>
          <w:rStyle w:val="MSJHBD-SB16pt"/>
        </w:rPr>
        <w:t>食品法律</w:t>
      </w:r>
      <w:r>
        <w:rPr>
          <w:rStyle w:val="MSJHBD-SB16pt"/>
        </w:rPr>
        <w:t xml:space="preserve"> Food Law  </w:t>
      </w:r>
      <w:r>
        <w:rPr>
          <w:rStyle w:val="MSJHBD-SB16pt"/>
        </w:rPr>
        <w:t>課程綱要</w:t>
      </w:r>
    </w:p>
    <w:tbl>
      <w:tblPr>
        <w:tblStyle w:val="myTable"/>
        <w:tblW w:w="0" w:type="auto"/>
        <w:tblInd w:w="19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978"/>
        <w:gridCol w:w="1376"/>
        <w:gridCol w:w="1970"/>
        <w:gridCol w:w="1281"/>
        <w:gridCol w:w="1970"/>
        <w:gridCol w:w="2141"/>
      </w:tblGrid>
      <w:tr w:rsidR="00B213E7" w14:paraId="4DB6817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00" w:type="dxa"/>
            <w:gridSpan w:val="4"/>
            <w:vMerge w:val="restart"/>
          </w:tcPr>
          <w:p w14:paraId="2F000869" w14:textId="77777777" w:rsidR="00B213E7" w:rsidRDefault="00C230C1">
            <w:pPr>
              <w:jc w:val="left"/>
            </w:pPr>
            <w:r>
              <w:rPr>
                <w:rStyle w:val="MSJHBD-SB12pt"/>
              </w:rPr>
              <w:t>課程名稱：</w:t>
            </w:r>
            <w:r>
              <w:rPr>
                <w:rStyle w:val="MSJHBD-SB12pt"/>
              </w:rPr>
              <w:br/>
            </w:r>
            <w:r>
              <w:rPr>
                <w:rStyle w:val="MSJHBD-SB12pt"/>
              </w:rPr>
              <w:t>（中文）食品法律</w:t>
            </w:r>
            <w:r>
              <w:rPr>
                <w:rStyle w:val="MSJHBD-SB12pt"/>
              </w:rPr>
              <w:br/>
            </w:r>
            <w:r>
              <w:rPr>
                <w:rStyle w:val="MSJHBD-SB12pt"/>
              </w:rPr>
              <w:t>（英文）</w:t>
            </w:r>
            <w:r>
              <w:rPr>
                <w:rStyle w:val="MSJHBD-SB12pt"/>
              </w:rPr>
              <w:t xml:space="preserve">Food Law </w:t>
            </w:r>
          </w:p>
        </w:tc>
        <w:tc>
          <w:tcPr>
            <w:tcW w:w="3000" w:type="dxa"/>
          </w:tcPr>
          <w:p w14:paraId="2F4F71D9" w14:textId="77777777" w:rsidR="00B213E7" w:rsidRDefault="00C230C1">
            <w:pPr>
              <w:jc w:val="left"/>
            </w:pPr>
            <w:r>
              <w:rPr>
                <w:rStyle w:val="MSJHBD-SB12pt"/>
              </w:rPr>
              <w:t>開課單位：</w:t>
            </w:r>
          </w:p>
        </w:tc>
        <w:tc>
          <w:tcPr>
            <w:tcW w:w="3000" w:type="dxa"/>
          </w:tcPr>
          <w:p w14:paraId="15CF532C" w14:textId="77777777" w:rsidR="00B213E7" w:rsidRDefault="00C230C1">
            <w:pPr>
              <w:jc w:val="left"/>
            </w:pPr>
            <w:r>
              <w:rPr>
                <w:rStyle w:val="BlueMSJHBD-SB12pt"/>
              </w:rPr>
              <w:t>科法碩</w:t>
            </w:r>
            <w:r>
              <w:rPr>
                <w:rStyle w:val="BlueMSJHBD-SB12pt"/>
              </w:rPr>
              <w:t xml:space="preserve">    </w:t>
            </w:r>
          </w:p>
        </w:tc>
      </w:tr>
      <w:tr w:rsidR="00B213E7" w14:paraId="41C05CB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00" w:type="dxa"/>
            <w:gridSpan w:val="4"/>
            <w:vMerge/>
          </w:tcPr>
          <w:p w14:paraId="6D90D0AC" w14:textId="77777777" w:rsidR="00B213E7" w:rsidRDefault="00B213E7"/>
        </w:tc>
        <w:tc>
          <w:tcPr>
            <w:tcW w:w="3000" w:type="dxa"/>
          </w:tcPr>
          <w:p w14:paraId="67A243A7" w14:textId="77777777" w:rsidR="00B213E7" w:rsidRDefault="00C230C1">
            <w:pPr>
              <w:jc w:val="left"/>
            </w:pPr>
            <w:r>
              <w:rPr>
                <w:rStyle w:val="MSJHBD-SB12pt"/>
              </w:rPr>
              <w:t>永久課號：</w:t>
            </w:r>
          </w:p>
        </w:tc>
        <w:tc>
          <w:tcPr>
            <w:tcW w:w="3000" w:type="dxa"/>
          </w:tcPr>
          <w:p w14:paraId="570A5088" w14:textId="77777777" w:rsidR="00B213E7" w:rsidRDefault="00C230C1">
            <w:pPr>
              <w:jc w:val="left"/>
            </w:pPr>
            <w:r>
              <w:rPr>
                <w:rStyle w:val="BlueMSJHBD-SB12pt"/>
              </w:rPr>
              <w:t>ITL5648</w:t>
            </w:r>
          </w:p>
        </w:tc>
      </w:tr>
      <w:tr w:rsidR="00B213E7" w14:paraId="5319EB1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000" w:type="dxa"/>
            <w:gridSpan w:val="6"/>
          </w:tcPr>
          <w:p w14:paraId="0BB1436E" w14:textId="77777777" w:rsidR="00B213E7" w:rsidRDefault="00C230C1">
            <w:pPr>
              <w:jc w:val="left"/>
            </w:pPr>
            <w:r>
              <w:rPr>
                <w:rStyle w:val="MSJHBD-SB12pt"/>
              </w:rPr>
              <w:t>授課教師：</w:t>
            </w:r>
          </w:p>
          <w:p w14:paraId="2A7484DD" w14:textId="77777777" w:rsidR="00B213E7" w:rsidRDefault="00C230C1">
            <w:pPr>
              <w:jc w:val="left"/>
            </w:pPr>
            <w:r>
              <w:rPr>
                <w:rStyle w:val="BlueMSJHBD-SB12pt"/>
              </w:rPr>
              <w:t>倪貴榮</w:t>
            </w:r>
          </w:p>
        </w:tc>
      </w:tr>
      <w:tr w:rsidR="00B213E7" w14:paraId="46AB979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00" w:type="dxa"/>
          </w:tcPr>
          <w:p w14:paraId="245C1B1C" w14:textId="77777777" w:rsidR="00B213E7" w:rsidRDefault="00C230C1">
            <w:pPr>
              <w:jc w:val="left"/>
            </w:pPr>
            <w:r>
              <w:rPr>
                <w:rStyle w:val="MSJHBD-SB12pt"/>
              </w:rPr>
              <w:t>學分數：</w:t>
            </w:r>
          </w:p>
        </w:tc>
        <w:tc>
          <w:tcPr>
            <w:tcW w:w="2000" w:type="dxa"/>
          </w:tcPr>
          <w:p w14:paraId="7C88C787" w14:textId="77777777" w:rsidR="00B213E7" w:rsidRDefault="00C230C1">
            <w:pPr>
              <w:jc w:val="left"/>
            </w:pPr>
            <w:r>
              <w:rPr>
                <w:rStyle w:val="BlueMSJHBD-SB12pt"/>
              </w:rPr>
              <w:t>2.00</w:t>
            </w:r>
          </w:p>
        </w:tc>
        <w:tc>
          <w:tcPr>
            <w:tcW w:w="3000" w:type="dxa"/>
          </w:tcPr>
          <w:p w14:paraId="265B7563" w14:textId="77777777" w:rsidR="00B213E7" w:rsidRDefault="00C230C1">
            <w:pPr>
              <w:jc w:val="left"/>
            </w:pPr>
            <w:r>
              <w:rPr>
                <w:rStyle w:val="MSJHBD-SB12pt"/>
              </w:rPr>
              <w:t>必／選修：</w:t>
            </w:r>
          </w:p>
        </w:tc>
        <w:tc>
          <w:tcPr>
            <w:tcW w:w="2000" w:type="dxa"/>
          </w:tcPr>
          <w:p w14:paraId="1DB32DCF" w14:textId="77777777" w:rsidR="00B213E7" w:rsidRDefault="00C230C1">
            <w:pPr>
              <w:jc w:val="left"/>
            </w:pPr>
            <w:r>
              <w:rPr>
                <w:rStyle w:val="BlueMSJHBD-SB12pt"/>
              </w:rPr>
              <w:t>選修</w:t>
            </w:r>
          </w:p>
        </w:tc>
        <w:tc>
          <w:tcPr>
            <w:tcW w:w="3000" w:type="dxa"/>
          </w:tcPr>
          <w:p w14:paraId="7DF125AD" w14:textId="77777777" w:rsidR="00B213E7" w:rsidRDefault="00C230C1">
            <w:pPr>
              <w:jc w:val="left"/>
            </w:pPr>
            <w:r>
              <w:rPr>
                <w:rStyle w:val="MSJHBD-SB12pt"/>
              </w:rPr>
              <w:t>開課年級：</w:t>
            </w:r>
          </w:p>
        </w:tc>
        <w:tc>
          <w:tcPr>
            <w:tcW w:w="2000" w:type="dxa"/>
          </w:tcPr>
          <w:p w14:paraId="273F68FE" w14:textId="77777777" w:rsidR="00B213E7" w:rsidRDefault="00C230C1">
            <w:pPr>
              <w:jc w:val="left"/>
            </w:pPr>
            <w:r>
              <w:rPr>
                <w:rStyle w:val="BlueMSJHBD-SB12pt"/>
              </w:rPr>
              <w:t>*</w:t>
            </w:r>
          </w:p>
        </w:tc>
      </w:tr>
      <w:tr w:rsidR="00B213E7" w14:paraId="750E766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000" w:type="dxa"/>
            <w:gridSpan w:val="6"/>
          </w:tcPr>
          <w:p w14:paraId="3FE341FD" w14:textId="77777777" w:rsidR="00B213E7" w:rsidRDefault="00C230C1">
            <w:pPr>
              <w:jc w:val="left"/>
            </w:pPr>
            <w:r>
              <w:rPr>
                <w:rStyle w:val="MSJHBD-SB12pt"/>
              </w:rPr>
              <w:t>先修科目或先備能力：</w:t>
            </w:r>
          </w:p>
          <w:p w14:paraId="0C67615A" w14:textId="77777777" w:rsidR="00B213E7" w:rsidRDefault="00C230C1">
            <w:pPr>
              <w:jc w:val="left"/>
            </w:pPr>
            <w:r>
              <w:rPr>
                <w:rStyle w:val="BlueMSJHBD-SB12pt"/>
              </w:rPr>
              <w:t>需英文閱讀能力。不限科系，毋須先修科目。具備基本法律知識為佳。歡迎具食品、醫藥、生技相關背景者選修。</w:t>
            </w:r>
          </w:p>
        </w:tc>
      </w:tr>
      <w:tr w:rsidR="00B213E7" w14:paraId="05B1264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000" w:type="dxa"/>
            <w:gridSpan w:val="6"/>
          </w:tcPr>
          <w:p w14:paraId="46E092C0" w14:textId="77777777" w:rsidR="00B213E7" w:rsidRDefault="00C230C1">
            <w:pPr>
              <w:jc w:val="left"/>
            </w:pPr>
            <w:r>
              <w:rPr>
                <w:rStyle w:val="MSJHBD-SB12pt"/>
              </w:rPr>
              <w:t>課程概述與目標：</w:t>
            </w:r>
          </w:p>
          <w:p w14:paraId="306AA10C" w14:textId="77777777" w:rsidR="00B213E7" w:rsidRDefault="00C230C1">
            <w:pPr>
              <w:jc w:val="left"/>
            </w:pPr>
            <w:r>
              <w:rPr>
                <w:rStyle w:val="BlueMSJHBD-SB12pt"/>
              </w:rPr>
              <w:t>食品安全已是國際及國內的共同關切，也是衡量國家進步的指標。我國人無不擔心劣質商品對公共衛生與自身健康之影響，使得食品衛生安全與其相關法規規範成為重要的議題。本課程首先研討國際食品衛生安全規範，包括國際標準及</w:t>
            </w:r>
            <w:r>
              <w:rPr>
                <w:rStyle w:val="BlueMSJHBD-SB12pt"/>
              </w:rPr>
              <w:t>WTO</w:t>
            </w:r>
            <w:r>
              <w:rPr>
                <w:rStyle w:val="BlueMSJHBD-SB12pt"/>
              </w:rPr>
              <w:t>規範；繼之食品法之主要內容：討論食品安全治理原則、食品管理機制、風險分析法制、標示、及責任救濟等。使學生掌握我國相關法制的重要議題及挑戰，理解涉及食品事件法令的解釋與應用，精進法律及政策之專業及問題解決途徑，更培養日顯重要之公益訴訟的意識與能力。</w:t>
            </w:r>
            <w:r>
              <w:rPr>
                <w:rStyle w:val="BlueMSJHBD-SB12pt"/>
              </w:rPr>
              <w:br/>
            </w:r>
            <w:r>
              <w:rPr>
                <w:rStyle w:val="BlueMSJHBD-SB12pt"/>
              </w:rPr>
              <w:t>此外，本課程可理解我國食品管理法規與措施及與國際規範</w:t>
            </w:r>
            <w:r>
              <w:rPr>
                <w:rStyle w:val="BlueMSJHBD-SB12pt"/>
              </w:rPr>
              <w:t>之關連，藉由課堂上的分析檢討，提昇學生處理跨領域及跨國問題的能力。因為食品管理涉及的專業領域廣闊，涵蓋食品、醫藥、生物科技、國際貿易以及法律層面，針對公部門及產業需求，設計跨領域教學題材與內容，期能透過科際整合課程的安排，培養跨領域專業人才；特別在與國際交往及與各國諮商，甚至解決爭端時，提升為我國法令措施符合國際規範所應具有的辯護能力及專業。</w:t>
            </w:r>
            <w:r>
              <w:rPr>
                <w:rStyle w:val="BlueMSJHBD-SB12pt"/>
              </w:rPr>
              <w:br/>
            </w:r>
            <w:r>
              <w:rPr>
                <w:rStyle w:val="BlueMSJHBD-SB12pt"/>
              </w:rPr>
              <w:br/>
            </w:r>
            <w:r>
              <w:rPr>
                <w:rStyle w:val="BlueMSJHBD-SB12pt"/>
              </w:rPr>
              <w:t>學習目標</w:t>
            </w:r>
            <w:r>
              <w:rPr>
                <w:rStyle w:val="BlueMSJHBD-SB12pt"/>
              </w:rPr>
              <w:br/>
              <w:t xml:space="preserve">1. </w:t>
            </w:r>
            <w:r>
              <w:rPr>
                <w:rStyle w:val="BlueMSJHBD-SB12pt"/>
              </w:rPr>
              <w:t>了解國際食品管制架構。</w:t>
            </w:r>
            <w:r>
              <w:rPr>
                <w:rStyle w:val="BlueMSJHBD-SB12pt"/>
              </w:rPr>
              <w:br/>
              <w:t xml:space="preserve">2. </w:t>
            </w:r>
            <w:r>
              <w:rPr>
                <w:rStyle w:val="BlueMSJHBD-SB12pt"/>
              </w:rPr>
              <w:t>掌握食品安全主要議題。</w:t>
            </w:r>
            <w:r>
              <w:rPr>
                <w:rStyle w:val="BlueMSJHBD-SB12pt"/>
              </w:rPr>
              <w:br/>
              <w:t xml:space="preserve">3. </w:t>
            </w:r>
            <w:r>
              <w:rPr>
                <w:rStyle w:val="BlueMSJHBD-SB12pt"/>
              </w:rPr>
              <w:t>分析國際規範與國內法之落差。</w:t>
            </w:r>
            <w:r>
              <w:rPr>
                <w:rStyle w:val="BlueMSJHBD-SB12pt"/>
              </w:rPr>
              <w:br/>
              <w:t xml:space="preserve">4. </w:t>
            </w:r>
            <w:r>
              <w:rPr>
                <w:rStyle w:val="BlueMSJHBD-SB12pt"/>
              </w:rPr>
              <w:t>因應國內外規範而可能採取的因應之道。</w:t>
            </w:r>
            <w:r>
              <w:rPr>
                <w:rStyle w:val="BlueMSJHBD-SB12pt"/>
              </w:rPr>
              <w:br/>
            </w:r>
            <w:r>
              <w:rPr>
                <w:rStyle w:val="BlueMSJHBD-SB12pt"/>
              </w:rPr>
              <w:t>預期學習成果</w:t>
            </w:r>
            <w:r>
              <w:rPr>
                <w:rStyle w:val="BlueMSJHBD-SB12pt"/>
              </w:rPr>
              <w:br/>
            </w:r>
            <w:r>
              <w:rPr>
                <w:rStyle w:val="BlueMSJHBD-SB12pt"/>
              </w:rPr>
              <w:t xml:space="preserve">1. </w:t>
            </w:r>
            <w:r>
              <w:rPr>
                <w:rStyle w:val="BlueMSJHBD-SB12pt"/>
              </w:rPr>
              <w:t>同學們對於食品安全法規的系統架構能有清楚的掌握。</w:t>
            </w:r>
            <w:r>
              <w:rPr>
                <w:rStyle w:val="BlueMSJHBD-SB12pt"/>
              </w:rPr>
              <w:br/>
              <w:t xml:space="preserve">2. </w:t>
            </w:r>
            <w:r>
              <w:rPr>
                <w:rStyle w:val="BlueMSJHBD-SB12pt"/>
              </w:rPr>
              <w:t>對於食品安全法規的國際規範主要議題有基本的瞭解。</w:t>
            </w:r>
            <w:r>
              <w:rPr>
                <w:rStyle w:val="BlueMSJHBD-SB12pt"/>
              </w:rPr>
              <w:br/>
            </w:r>
            <w:r>
              <w:rPr>
                <w:rStyle w:val="BlueMSJHBD-SB12pt"/>
              </w:rPr>
              <w:lastRenderedPageBreak/>
              <w:t xml:space="preserve">3. </w:t>
            </w:r>
            <w:r>
              <w:rPr>
                <w:rStyle w:val="BlueMSJHBD-SB12pt"/>
              </w:rPr>
              <w:t>能指出議題（</w:t>
            </w:r>
            <w:r>
              <w:rPr>
                <w:rStyle w:val="BlueMSJHBD-SB12pt"/>
              </w:rPr>
              <w:t>issues</w:t>
            </w:r>
            <w:r>
              <w:rPr>
                <w:rStyle w:val="BlueMSJHBD-SB12pt"/>
              </w:rPr>
              <w:t>）所在，瞭解相應的管制原理原則。</w:t>
            </w:r>
            <w:r>
              <w:rPr>
                <w:rStyle w:val="BlueMSJHBD-SB12pt"/>
              </w:rPr>
              <w:br/>
              <w:t xml:space="preserve">4. </w:t>
            </w:r>
            <w:r>
              <w:rPr>
                <w:rStyle w:val="BlueMSJHBD-SB12pt"/>
              </w:rPr>
              <w:t>獨立完成研究，提出自己的見解，培養解決跨領域問題之能力。</w:t>
            </w:r>
            <w:r>
              <w:rPr>
                <w:rStyle w:val="BlueMSJHBD-SB12pt"/>
              </w:rPr>
              <w:br/>
            </w:r>
          </w:p>
        </w:tc>
      </w:tr>
      <w:tr w:rsidR="00B213E7" w14:paraId="44649C0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0" w:type="dxa"/>
            <w:gridSpan w:val="2"/>
          </w:tcPr>
          <w:p w14:paraId="781607E5" w14:textId="77777777" w:rsidR="00B213E7" w:rsidRDefault="00C230C1">
            <w:pPr>
              <w:jc w:val="left"/>
            </w:pPr>
            <w:r>
              <w:rPr>
                <w:rStyle w:val="MSJHBD-SB12pt"/>
              </w:rPr>
              <w:lastRenderedPageBreak/>
              <w:t>教科書（請註明書名、作者、出版社、出版年等資訊）：</w:t>
            </w:r>
          </w:p>
        </w:tc>
        <w:tc>
          <w:tcPr>
            <w:tcW w:w="5000" w:type="dxa"/>
            <w:gridSpan w:val="4"/>
          </w:tcPr>
          <w:p w14:paraId="0039CC70" w14:textId="77777777" w:rsidR="00B213E7" w:rsidRDefault="00C230C1">
            <w:pPr>
              <w:jc w:val="left"/>
            </w:pPr>
            <w:r>
              <w:rPr>
                <w:rStyle w:val="BlueMSJHBD-SB12pt"/>
              </w:rPr>
              <w:t>倪貴榮主編</w:t>
            </w:r>
            <w:r>
              <w:rPr>
                <w:rStyle w:val="BlueMSJHBD-SB12pt"/>
              </w:rPr>
              <w:t xml:space="preserve"> (2020.02)</w:t>
            </w:r>
            <w:r>
              <w:rPr>
                <w:rStyle w:val="BlueMSJHBD-SB12pt"/>
              </w:rPr>
              <w:t>，《食品安全與司法救濟》，台北：元照，民國一零九年二月。</w:t>
            </w:r>
            <w:r>
              <w:rPr>
                <w:rStyle w:val="BlueMSJHBD-SB12pt"/>
              </w:rPr>
              <w:br/>
            </w:r>
            <w:r>
              <w:rPr>
                <w:rStyle w:val="BlueMSJHBD-SB12pt"/>
              </w:rPr>
              <w:t>倪貴榮等編著</w:t>
            </w:r>
            <w:r>
              <w:rPr>
                <w:rStyle w:val="BlueMSJHBD-SB12pt"/>
              </w:rPr>
              <w:t xml:space="preserve"> (2017.07)</w:t>
            </w:r>
            <w:r>
              <w:rPr>
                <w:rStyle w:val="BlueMSJHBD-SB12pt"/>
              </w:rPr>
              <w:t>，《吃的抉擇</w:t>
            </w:r>
            <w:r>
              <w:rPr>
                <w:rStyle w:val="BlueMSJHBD-SB12pt"/>
              </w:rPr>
              <w:t>—</w:t>
            </w:r>
            <w:r>
              <w:rPr>
                <w:rStyle w:val="BlueMSJHBD-SB12pt"/>
              </w:rPr>
              <w:t>台灣聯大的九堂通識課》，新竹：交通大學出版社，民國一零六年七月。</w:t>
            </w:r>
            <w:r>
              <w:rPr>
                <w:rStyle w:val="BlueMSJHBD-SB12pt"/>
              </w:rPr>
              <w:br/>
            </w:r>
            <w:r>
              <w:rPr>
                <w:rStyle w:val="BlueMSJHBD-SB12pt"/>
              </w:rPr>
              <w:t>倪貴榮</w:t>
            </w:r>
            <w:r>
              <w:rPr>
                <w:rStyle w:val="BlueMSJHBD-SB12pt"/>
              </w:rPr>
              <w:t xml:space="preserve"> (201</w:t>
            </w:r>
            <w:r>
              <w:rPr>
                <w:rStyle w:val="BlueMSJHBD-SB12pt"/>
              </w:rPr>
              <w:t>6.11)</w:t>
            </w:r>
            <w:r>
              <w:rPr>
                <w:rStyle w:val="BlueMSJHBD-SB12pt"/>
              </w:rPr>
              <w:t>，《食品安全與國際貿易</w:t>
            </w:r>
            <w:r>
              <w:rPr>
                <w:rStyle w:val="BlueMSJHBD-SB12pt"/>
              </w:rPr>
              <w:t>—</w:t>
            </w:r>
            <w:r>
              <w:rPr>
                <w:rStyle w:val="BlueMSJHBD-SB12pt"/>
              </w:rPr>
              <w:t>貿易自由化與健康風險治理之平衡》，台北：元照，民國一零五年十一月。</w:t>
            </w:r>
            <w:r>
              <w:rPr>
                <w:rStyle w:val="BlueMSJHBD-SB12pt"/>
              </w:rPr>
              <w:br/>
            </w:r>
          </w:p>
        </w:tc>
      </w:tr>
    </w:tbl>
    <w:tbl>
      <w:tblPr>
        <w:tblStyle w:val="outlineTable"/>
        <w:tblW w:w="0" w:type="auto"/>
        <w:tblInd w:w="19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116"/>
        <w:gridCol w:w="3465"/>
        <w:gridCol w:w="755"/>
        <w:gridCol w:w="755"/>
        <w:gridCol w:w="755"/>
        <w:gridCol w:w="755"/>
        <w:gridCol w:w="2115"/>
      </w:tblGrid>
      <w:tr w:rsidR="00B213E7" w14:paraId="0768993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000" w:type="dxa"/>
            <w:gridSpan w:val="2"/>
          </w:tcPr>
          <w:p w14:paraId="62C3CE34" w14:textId="77777777" w:rsidR="00B213E7" w:rsidRDefault="00C230C1">
            <w:pPr>
              <w:jc w:val="center"/>
            </w:pPr>
            <w:r>
              <w:rPr>
                <w:rStyle w:val="MSJHBD-SB12pt"/>
              </w:rPr>
              <w:t>課程大網</w:t>
            </w:r>
          </w:p>
        </w:tc>
        <w:tc>
          <w:tcPr>
            <w:tcW w:w="2000" w:type="dxa"/>
            <w:gridSpan w:val="4"/>
          </w:tcPr>
          <w:p w14:paraId="0CCA988E" w14:textId="77777777" w:rsidR="00B213E7" w:rsidRDefault="00C230C1">
            <w:pPr>
              <w:jc w:val="center"/>
            </w:pPr>
            <w:r>
              <w:rPr>
                <w:rStyle w:val="MSJHBD-SB12pt"/>
              </w:rPr>
              <w:t>分配時數</w:t>
            </w:r>
          </w:p>
        </w:tc>
        <w:tc>
          <w:tcPr>
            <w:tcW w:w="3000" w:type="dxa"/>
            <w:vMerge w:val="restart"/>
          </w:tcPr>
          <w:p w14:paraId="534B3622" w14:textId="77777777" w:rsidR="00B213E7" w:rsidRDefault="00C230C1">
            <w:pPr>
              <w:jc w:val="center"/>
            </w:pPr>
            <w:r>
              <w:rPr>
                <w:rStyle w:val="MSJHBD-SB12pt"/>
              </w:rPr>
              <w:t>備註</w:t>
            </w:r>
          </w:p>
        </w:tc>
      </w:tr>
      <w:tr w:rsidR="00B213E7" w14:paraId="4C0B82F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00" w:type="dxa"/>
          </w:tcPr>
          <w:p w14:paraId="52C969F4" w14:textId="77777777" w:rsidR="00B213E7" w:rsidRDefault="00C230C1">
            <w:pPr>
              <w:jc w:val="center"/>
            </w:pPr>
            <w:r>
              <w:rPr>
                <w:rStyle w:val="MSJHBD-SB12pt"/>
              </w:rPr>
              <w:t>單元主題</w:t>
            </w:r>
          </w:p>
        </w:tc>
        <w:tc>
          <w:tcPr>
            <w:tcW w:w="3000" w:type="dxa"/>
          </w:tcPr>
          <w:p w14:paraId="13F2933B" w14:textId="77777777" w:rsidR="00B213E7" w:rsidRDefault="00C230C1">
            <w:pPr>
              <w:jc w:val="center"/>
            </w:pPr>
            <w:r>
              <w:rPr>
                <w:rStyle w:val="MSJHBD-SB12pt"/>
              </w:rPr>
              <w:t>內容綱要</w:t>
            </w:r>
          </w:p>
        </w:tc>
        <w:tc>
          <w:tcPr>
            <w:tcW w:w="1000" w:type="dxa"/>
          </w:tcPr>
          <w:p w14:paraId="5C06ECE3" w14:textId="77777777" w:rsidR="00B213E7" w:rsidRDefault="00C230C1">
            <w:pPr>
              <w:jc w:val="center"/>
            </w:pPr>
            <w:r>
              <w:rPr>
                <w:rStyle w:val="MSJHBD-SB12pt"/>
              </w:rPr>
              <w:t>講授</w:t>
            </w:r>
          </w:p>
        </w:tc>
        <w:tc>
          <w:tcPr>
            <w:tcW w:w="1000" w:type="dxa"/>
          </w:tcPr>
          <w:p w14:paraId="10BAB1FC" w14:textId="77777777" w:rsidR="00B213E7" w:rsidRDefault="00C230C1">
            <w:pPr>
              <w:jc w:val="center"/>
            </w:pPr>
            <w:r>
              <w:rPr>
                <w:rStyle w:val="MSJHBD-SB12pt"/>
              </w:rPr>
              <w:t>示範</w:t>
            </w:r>
          </w:p>
        </w:tc>
        <w:tc>
          <w:tcPr>
            <w:tcW w:w="1000" w:type="dxa"/>
          </w:tcPr>
          <w:p w14:paraId="654ACB24" w14:textId="77777777" w:rsidR="00B213E7" w:rsidRDefault="00C230C1">
            <w:pPr>
              <w:jc w:val="center"/>
            </w:pPr>
            <w:r>
              <w:rPr>
                <w:rStyle w:val="MSJHBD-SB12pt"/>
              </w:rPr>
              <w:t>習作</w:t>
            </w:r>
          </w:p>
        </w:tc>
        <w:tc>
          <w:tcPr>
            <w:tcW w:w="1000" w:type="dxa"/>
          </w:tcPr>
          <w:p w14:paraId="015FFF92" w14:textId="77777777" w:rsidR="00B213E7" w:rsidRDefault="00C230C1">
            <w:pPr>
              <w:jc w:val="center"/>
            </w:pPr>
            <w:r>
              <w:rPr>
                <w:rStyle w:val="MSJHBD-SB12pt"/>
              </w:rPr>
              <w:t>其他</w:t>
            </w:r>
          </w:p>
        </w:tc>
        <w:tc>
          <w:tcPr>
            <w:tcW w:w="3000" w:type="dxa"/>
            <w:vMerge/>
          </w:tcPr>
          <w:p w14:paraId="5ADC2F32" w14:textId="77777777" w:rsidR="00B213E7" w:rsidRDefault="00B213E7">
            <w:pPr>
              <w:jc w:val="center"/>
            </w:pPr>
          </w:p>
        </w:tc>
      </w:tr>
    </w:tbl>
    <w:tbl>
      <w:tblPr>
        <w:tblStyle w:val="descriptionDataTable"/>
        <w:tblW w:w="0" w:type="auto"/>
        <w:tblInd w:w="19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544"/>
        <w:gridCol w:w="3840"/>
        <w:gridCol w:w="1721"/>
        <w:gridCol w:w="3611"/>
      </w:tblGrid>
      <w:tr w:rsidR="00B213E7" w14:paraId="2D4676E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000" w:type="dxa"/>
            <w:gridSpan w:val="4"/>
          </w:tcPr>
          <w:p w14:paraId="70ACB91D" w14:textId="77777777" w:rsidR="00B213E7" w:rsidRDefault="00C230C1">
            <w:pPr>
              <w:jc w:val="left"/>
            </w:pPr>
            <w:r>
              <w:rPr>
                <w:rStyle w:val="MSJHBD-SB12pt"/>
              </w:rPr>
              <w:t>教學要點概述：</w:t>
            </w:r>
          </w:p>
        </w:tc>
      </w:tr>
      <w:tr w:rsidR="00B213E7" w14:paraId="3A180D9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000" w:type="dxa"/>
            <w:gridSpan w:val="4"/>
          </w:tcPr>
          <w:p w14:paraId="034BA4EE" w14:textId="77777777" w:rsidR="00B213E7" w:rsidRDefault="00C230C1">
            <w:pPr>
              <w:jc w:val="left"/>
            </w:pPr>
            <w:r>
              <w:rPr>
                <w:rStyle w:val="MSJHBD-SB12pt"/>
              </w:rPr>
              <w:t>1.</w:t>
            </w:r>
            <w:r>
              <w:rPr>
                <w:rStyle w:val="MSJHBD-SB12pt"/>
              </w:rPr>
              <w:t>學期作業、考試、評量</w:t>
            </w:r>
          </w:p>
          <w:p w14:paraId="0802F65C" w14:textId="77777777" w:rsidR="00B213E7" w:rsidRDefault="00C230C1">
            <w:pPr>
              <w:jc w:val="left"/>
            </w:pPr>
            <w:r>
              <w:rPr>
                <w:rStyle w:val="BlueMSJHBD-SB12pt"/>
              </w:rPr>
              <w:br/>
              <w:t xml:space="preserve">1. </w:t>
            </w:r>
            <w:r>
              <w:rPr>
                <w:rStyle w:val="BlueMSJHBD-SB12pt"/>
              </w:rPr>
              <w:t>課堂參與及討論</w:t>
            </w:r>
            <w:r>
              <w:rPr>
                <w:rStyle w:val="BlueMSJHBD-SB12pt"/>
              </w:rPr>
              <w:t>20%</w:t>
            </w:r>
            <w:r>
              <w:rPr>
                <w:rStyle w:val="BlueMSJHBD-SB12pt"/>
              </w:rPr>
              <w:br/>
              <w:t xml:space="preserve">2. </w:t>
            </w:r>
            <w:r>
              <w:rPr>
                <w:rStyle w:val="BlueMSJHBD-SB12pt"/>
              </w:rPr>
              <w:t>報告及摘要</w:t>
            </w:r>
            <w:r>
              <w:rPr>
                <w:rStyle w:val="BlueMSJHBD-SB12pt"/>
              </w:rPr>
              <w:t>20%</w:t>
            </w:r>
            <w:r>
              <w:rPr>
                <w:rStyle w:val="BlueMSJHBD-SB12pt"/>
              </w:rPr>
              <w:t>：同學將分配課程主題，摘要授課老師所指定之中英文期刊，製作投影片，並於課堂中報告。</w:t>
            </w:r>
            <w:r>
              <w:rPr>
                <w:rStyle w:val="BlueMSJHBD-SB12pt"/>
              </w:rPr>
              <w:br/>
              <w:t xml:space="preserve">3. </w:t>
            </w:r>
            <w:r>
              <w:rPr>
                <w:rStyle w:val="BlueMSJHBD-SB12pt"/>
              </w:rPr>
              <w:t>期末報告</w:t>
            </w:r>
            <w:r>
              <w:rPr>
                <w:rStyle w:val="BlueMSJHBD-SB12pt"/>
              </w:rPr>
              <w:t>60%</w:t>
            </w:r>
            <w:r>
              <w:rPr>
                <w:rStyle w:val="BlueMSJHBD-SB12pt"/>
              </w:rPr>
              <w:br/>
            </w:r>
            <w:r>
              <w:rPr>
                <w:rStyle w:val="BlueMSJHBD-SB12pt"/>
              </w:rPr>
              <w:br/>
            </w:r>
            <w:r>
              <w:rPr>
                <w:rStyle w:val="BlueMSJHBD-SB12pt"/>
              </w:rPr>
              <w:t>課堂報告字數要求為八千字以上。同學可選擇本學期課程中感興趣的主題來撰寫報告。</w:t>
            </w:r>
            <w:r>
              <w:rPr>
                <w:rStyle w:val="BlueMSJHBD-SB12pt"/>
              </w:rPr>
              <w:br/>
            </w:r>
            <w:r>
              <w:rPr>
                <w:rStyle w:val="BlueMSJHBD-SB12pt"/>
              </w:rPr>
              <w:t>預期學習成果如何評量</w:t>
            </w:r>
            <w:r>
              <w:rPr>
                <w:rStyle w:val="BlueMSJHBD-SB12pt"/>
              </w:rPr>
              <w:t>:</w:t>
            </w:r>
            <w:r>
              <w:rPr>
                <w:rStyle w:val="BlueMSJHBD-SB12pt"/>
              </w:rPr>
              <w:br/>
            </w:r>
            <w:r>
              <w:rPr>
                <w:rStyle w:val="BlueMSJHBD-SB12pt"/>
              </w:rPr>
              <w:t>透過評量方是了解同學是否能清楚發現議題、獨立研究並提出新穎的見解，以檢視預期成果一到四的達成狀況。</w:t>
            </w:r>
            <w:r>
              <w:rPr>
                <w:rStyle w:val="BlueMSJHBD-SB12pt"/>
              </w:rPr>
              <w:br/>
            </w:r>
          </w:p>
          <w:p w14:paraId="74B1EE3B" w14:textId="77777777" w:rsidR="00B213E7" w:rsidRDefault="00C230C1">
            <w:pPr>
              <w:jc w:val="left"/>
            </w:pPr>
            <w:r>
              <w:rPr>
                <w:rStyle w:val="MSJHBD-SB12pt"/>
              </w:rPr>
              <w:t>2.</w:t>
            </w:r>
            <w:r>
              <w:rPr>
                <w:rStyle w:val="MSJHBD-SB12pt"/>
              </w:rPr>
              <w:t>教學方法及教學相關配合事項（如助教、網站或圖書及資料庫等）</w:t>
            </w:r>
          </w:p>
          <w:p w14:paraId="690D30DA" w14:textId="77777777" w:rsidR="00B213E7" w:rsidRDefault="00C230C1">
            <w:pPr>
              <w:jc w:val="left"/>
            </w:pPr>
            <w:r>
              <w:rPr>
                <w:rStyle w:val="BlueMSJHBD-SB12pt"/>
              </w:rPr>
              <w:t>教材編選：除教科書外，以案例、法規、專論為主的中英文閱讀資料，由教師選編</w:t>
            </w:r>
            <w:r>
              <w:rPr>
                <w:rStyle w:val="BlueMSJHBD-SB12pt"/>
              </w:rPr>
              <w:br/>
            </w:r>
            <w:r>
              <w:rPr>
                <w:rStyle w:val="BlueMSJHBD-SB12pt"/>
              </w:rPr>
              <w:t>教學方法：以案例、問題討論及文獻分析為主，學生應進行課前閱讀，並在上課時積極參加討論</w:t>
            </w:r>
            <w:r>
              <w:rPr>
                <w:rStyle w:val="BlueMSJHBD-SB12pt"/>
              </w:rPr>
              <w:br/>
            </w:r>
          </w:p>
        </w:tc>
      </w:tr>
      <w:tr w:rsidR="00B213E7" w14:paraId="55A023A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Merge w:val="restart"/>
          </w:tcPr>
          <w:p w14:paraId="47CF0186" w14:textId="77777777" w:rsidR="00B213E7" w:rsidRDefault="00C230C1">
            <w:pPr>
              <w:jc w:val="left"/>
            </w:pPr>
            <w:r>
              <w:rPr>
                <w:rStyle w:val="MSJHBD-SB12pt"/>
              </w:rPr>
              <w:t>師生晤談</w:t>
            </w:r>
          </w:p>
        </w:tc>
        <w:tc>
          <w:tcPr>
            <w:tcW w:w="5000" w:type="dxa"/>
          </w:tcPr>
          <w:p w14:paraId="6B7A4213" w14:textId="77777777" w:rsidR="00B213E7" w:rsidRDefault="00C230C1">
            <w:pPr>
              <w:jc w:val="left"/>
            </w:pPr>
            <w:r>
              <w:rPr>
                <w:rStyle w:val="MSJHBD-SB12pt"/>
              </w:rPr>
              <w:t>排定時間</w:t>
            </w:r>
          </w:p>
        </w:tc>
        <w:tc>
          <w:tcPr>
            <w:tcW w:w="2000" w:type="dxa"/>
          </w:tcPr>
          <w:p w14:paraId="4C45CF48" w14:textId="77777777" w:rsidR="00B213E7" w:rsidRDefault="00C230C1">
            <w:pPr>
              <w:jc w:val="left"/>
            </w:pPr>
            <w:r>
              <w:rPr>
                <w:rStyle w:val="MSJHBD-SB12pt"/>
              </w:rPr>
              <w:t>地點</w:t>
            </w:r>
          </w:p>
        </w:tc>
        <w:tc>
          <w:tcPr>
            <w:tcW w:w="4000" w:type="dxa"/>
          </w:tcPr>
          <w:p w14:paraId="2D2DEB14" w14:textId="77777777" w:rsidR="00B213E7" w:rsidRDefault="00C230C1">
            <w:pPr>
              <w:jc w:val="left"/>
            </w:pPr>
            <w:r>
              <w:rPr>
                <w:rStyle w:val="MSJHBD-SB12pt"/>
              </w:rPr>
              <w:t>聯絡方式</w:t>
            </w:r>
          </w:p>
        </w:tc>
      </w:tr>
      <w:tr w:rsidR="00B213E7" w14:paraId="1430608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Merge/>
          </w:tcPr>
          <w:p w14:paraId="7B8478C8" w14:textId="77777777" w:rsidR="00B213E7" w:rsidRDefault="00B213E7">
            <w:pPr>
              <w:jc w:val="left"/>
            </w:pPr>
          </w:p>
        </w:tc>
        <w:tc>
          <w:tcPr>
            <w:tcW w:w="5000" w:type="dxa"/>
          </w:tcPr>
          <w:p w14:paraId="241A9CED" w14:textId="77777777" w:rsidR="00B213E7" w:rsidRDefault="00C230C1">
            <w:pPr>
              <w:jc w:val="left"/>
            </w:pPr>
            <w:r>
              <w:rPr>
                <w:rStyle w:val="BlueMSJHBD-SB12pt"/>
              </w:rPr>
              <w:t>週二下午</w:t>
            </w:r>
            <w:r>
              <w:rPr>
                <w:rStyle w:val="BlueMSJHBD-SB12pt"/>
              </w:rPr>
              <w:t>2:00-5:00</w:t>
            </w:r>
          </w:p>
        </w:tc>
        <w:tc>
          <w:tcPr>
            <w:tcW w:w="2000" w:type="dxa"/>
          </w:tcPr>
          <w:p w14:paraId="2C02E4C6" w14:textId="77777777" w:rsidR="00B213E7" w:rsidRDefault="00C230C1">
            <w:pPr>
              <w:jc w:val="left"/>
            </w:pPr>
            <w:r>
              <w:rPr>
                <w:rStyle w:val="BlueMSJHBD-SB12pt"/>
              </w:rPr>
              <w:t>授課教師辦公</w:t>
            </w:r>
            <w:r>
              <w:rPr>
                <w:rStyle w:val="BlueMSJHBD-SB12pt"/>
              </w:rPr>
              <w:t>室</w:t>
            </w:r>
            <w:r>
              <w:rPr>
                <w:rStyle w:val="BlueMSJHBD-SB12pt"/>
              </w:rPr>
              <w:t xml:space="preserve"> </w:t>
            </w:r>
            <w:r>
              <w:rPr>
                <w:rStyle w:val="BlueMSJHBD-SB12pt"/>
              </w:rPr>
              <w:lastRenderedPageBreak/>
              <w:t>MB1065</w:t>
            </w:r>
          </w:p>
        </w:tc>
        <w:tc>
          <w:tcPr>
            <w:tcW w:w="4000" w:type="dxa"/>
          </w:tcPr>
          <w:p w14:paraId="060F4E02" w14:textId="77777777" w:rsidR="00B213E7" w:rsidRDefault="00C230C1">
            <w:pPr>
              <w:jc w:val="left"/>
            </w:pPr>
            <w:r>
              <w:rPr>
                <w:rStyle w:val="BlueMSJHBD-SB12pt"/>
              </w:rPr>
              <w:lastRenderedPageBreak/>
              <w:t>kjni@mail.nctu.edu.tw</w:t>
            </w:r>
          </w:p>
        </w:tc>
      </w:tr>
    </w:tbl>
    <w:tbl>
      <w:tblPr>
        <w:tblStyle w:val="syllabusDataTable"/>
        <w:tblW w:w="0" w:type="auto"/>
        <w:tblInd w:w="19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56"/>
        <w:gridCol w:w="2063"/>
        <w:gridCol w:w="8197"/>
      </w:tblGrid>
      <w:tr w:rsidR="00B213E7" w14:paraId="262DB49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000" w:type="dxa"/>
            <w:gridSpan w:val="3"/>
          </w:tcPr>
          <w:p w14:paraId="1EF488B8" w14:textId="77777777" w:rsidR="00B213E7" w:rsidRDefault="00C230C1">
            <w:pPr>
              <w:jc w:val="left"/>
            </w:pPr>
            <w:r>
              <w:rPr>
                <w:rStyle w:val="MSJHBD-SB12pt"/>
              </w:rPr>
              <w:t>每週進度表</w:t>
            </w:r>
          </w:p>
        </w:tc>
      </w:tr>
      <w:tr w:rsidR="00B213E7" w14:paraId="7CC948A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" w:type="dxa"/>
          </w:tcPr>
          <w:p w14:paraId="4276C699" w14:textId="77777777" w:rsidR="00B213E7" w:rsidRDefault="00C230C1">
            <w:pPr>
              <w:jc w:val="center"/>
            </w:pPr>
            <w:r>
              <w:rPr>
                <w:rStyle w:val="MSJHBD-SB12pt"/>
              </w:rPr>
              <w:t>週次</w:t>
            </w:r>
          </w:p>
        </w:tc>
        <w:tc>
          <w:tcPr>
            <w:tcW w:w="2500" w:type="dxa"/>
          </w:tcPr>
          <w:p w14:paraId="61ADB412" w14:textId="77777777" w:rsidR="00B213E7" w:rsidRDefault="00C230C1">
            <w:pPr>
              <w:jc w:val="center"/>
            </w:pPr>
            <w:r>
              <w:rPr>
                <w:rStyle w:val="MSJHBD-SB12pt"/>
              </w:rPr>
              <w:t>上課日期</w:t>
            </w:r>
          </w:p>
        </w:tc>
        <w:tc>
          <w:tcPr>
            <w:tcW w:w="7000" w:type="dxa"/>
          </w:tcPr>
          <w:p w14:paraId="5FE2043C" w14:textId="77777777" w:rsidR="00B213E7" w:rsidRDefault="00C230C1">
            <w:pPr>
              <w:jc w:val="center"/>
            </w:pPr>
            <w:r>
              <w:rPr>
                <w:rStyle w:val="MSJHBD-SB12pt"/>
              </w:rPr>
              <w:t>課程進度、內容、主題</w:t>
            </w:r>
          </w:p>
        </w:tc>
      </w:tr>
      <w:tr w:rsidR="00B213E7" w14:paraId="5F64D0C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" w:type="dxa"/>
          </w:tcPr>
          <w:p w14:paraId="50F4830F" w14:textId="77777777" w:rsidR="00B213E7" w:rsidRDefault="00C230C1">
            <w:pPr>
              <w:jc w:val="center"/>
            </w:pPr>
            <w:r>
              <w:rPr>
                <w:rStyle w:val="BlueMSJHBD-SB12pt"/>
              </w:rPr>
              <w:t>1</w:t>
            </w:r>
          </w:p>
        </w:tc>
        <w:tc>
          <w:tcPr>
            <w:tcW w:w="2500" w:type="dxa"/>
          </w:tcPr>
          <w:p w14:paraId="4F54BB61" w14:textId="77777777" w:rsidR="00B213E7" w:rsidRDefault="00C230C1">
            <w:pPr>
              <w:jc w:val="left"/>
            </w:pPr>
            <w:r>
              <w:rPr>
                <w:rStyle w:val="BlueMSJHBD-SB12pt"/>
              </w:rPr>
              <w:t>2/26</w:t>
            </w:r>
          </w:p>
        </w:tc>
        <w:tc>
          <w:tcPr>
            <w:tcW w:w="7000" w:type="dxa"/>
          </w:tcPr>
          <w:p w14:paraId="00A5456B" w14:textId="77777777" w:rsidR="00B213E7" w:rsidRDefault="00C230C1">
            <w:pPr>
              <w:jc w:val="left"/>
            </w:pPr>
            <w:r>
              <w:rPr>
                <w:rStyle w:val="BlueMSJHBD-SB12pt"/>
              </w:rPr>
              <w:t>導論：國際食安管理規範與趨勢</w:t>
            </w:r>
          </w:p>
        </w:tc>
      </w:tr>
      <w:tr w:rsidR="00B213E7" w14:paraId="58DABF9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" w:type="dxa"/>
          </w:tcPr>
          <w:p w14:paraId="39AADB0F" w14:textId="77777777" w:rsidR="00B213E7" w:rsidRDefault="00C230C1">
            <w:pPr>
              <w:jc w:val="center"/>
            </w:pPr>
            <w:r>
              <w:rPr>
                <w:rStyle w:val="BlueMSJHBD-SB12pt"/>
              </w:rPr>
              <w:t>2</w:t>
            </w:r>
          </w:p>
        </w:tc>
        <w:tc>
          <w:tcPr>
            <w:tcW w:w="2500" w:type="dxa"/>
          </w:tcPr>
          <w:p w14:paraId="6AA28F2F" w14:textId="77777777" w:rsidR="00B213E7" w:rsidRDefault="00C230C1">
            <w:pPr>
              <w:jc w:val="left"/>
            </w:pPr>
            <w:r>
              <w:rPr>
                <w:rStyle w:val="BlueMSJHBD-SB12pt"/>
              </w:rPr>
              <w:t>3/5</w:t>
            </w:r>
          </w:p>
        </w:tc>
        <w:tc>
          <w:tcPr>
            <w:tcW w:w="7000" w:type="dxa"/>
          </w:tcPr>
          <w:p w14:paraId="795BFBE0" w14:textId="77777777" w:rsidR="00B213E7" w:rsidRDefault="00C230C1">
            <w:pPr>
              <w:jc w:val="left"/>
            </w:pPr>
            <w:r>
              <w:rPr>
                <w:rStyle w:val="BlueMSJHBD-SB12pt"/>
              </w:rPr>
              <w:t>國際食品衛生安全規範</w:t>
            </w:r>
            <w:r>
              <w:rPr>
                <w:rStyle w:val="BlueMSJHBD-SB12pt"/>
              </w:rPr>
              <w:t xml:space="preserve">(I): </w:t>
            </w:r>
            <w:r>
              <w:rPr>
                <w:rStyle w:val="BlueMSJHBD-SB12pt"/>
              </w:rPr>
              <w:t>國際標準</w:t>
            </w:r>
          </w:p>
        </w:tc>
      </w:tr>
      <w:tr w:rsidR="00B213E7" w14:paraId="1B54C42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" w:type="dxa"/>
          </w:tcPr>
          <w:p w14:paraId="5AF56144" w14:textId="77777777" w:rsidR="00B213E7" w:rsidRDefault="00C230C1">
            <w:pPr>
              <w:jc w:val="center"/>
            </w:pPr>
            <w:r>
              <w:rPr>
                <w:rStyle w:val="BlueMSJHBD-SB12pt"/>
              </w:rPr>
              <w:t>3</w:t>
            </w:r>
          </w:p>
        </w:tc>
        <w:tc>
          <w:tcPr>
            <w:tcW w:w="2500" w:type="dxa"/>
          </w:tcPr>
          <w:p w14:paraId="12A1643E" w14:textId="77777777" w:rsidR="00B213E7" w:rsidRDefault="00C230C1">
            <w:pPr>
              <w:jc w:val="left"/>
            </w:pPr>
            <w:r>
              <w:rPr>
                <w:rStyle w:val="BlueMSJHBD-SB12pt"/>
              </w:rPr>
              <w:t>3/12</w:t>
            </w:r>
          </w:p>
        </w:tc>
        <w:tc>
          <w:tcPr>
            <w:tcW w:w="7000" w:type="dxa"/>
          </w:tcPr>
          <w:p w14:paraId="548F5FA3" w14:textId="77777777" w:rsidR="00B213E7" w:rsidRDefault="00C230C1">
            <w:pPr>
              <w:jc w:val="left"/>
            </w:pPr>
            <w:r>
              <w:rPr>
                <w:rStyle w:val="BlueMSJHBD-SB12pt"/>
              </w:rPr>
              <w:t>國際食品衛生安全規範</w:t>
            </w:r>
            <w:r>
              <w:rPr>
                <w:rStyle w:val="BlueMSJHBD-SB12pt"/>
              </w:rPr>
              <w:t>(II): WTO/SPS</w:t>
            </w:r>
          </w:p>
        </w:tc>
      </w:tr>
      <w:tr w:rsidR="00B213E7" w14:paraId="1AF66FF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" w:type="dxa"/>
          </w:tcPr>
          <w:p w14:paraId="1DF536FA" w14:textId="77777777" w:rsidR="00B213E7" w:rsidRDefault="00C230C1">
            <w:pPr>
              <w:jc w:val="center"/>
            </w:pPr>
            <w:r>
              <w:rPr>
                <w:rStyle w:val="BlueMSJHBD-SB12pt"/>
              </w:rPr>
              <w:t>4</w:t>
            </w:r>
          </w:p>
        </w:tc>
        <w:tc>
          <w:tcPr>
            <w:tcW w:w="2500" w:type="dxa"/>
          </w:tcPr>
          <w:p w14:paraId="634ADA80" w14:textId="77777777" w:rsidR="00B213E7" w:rsidRDefault="00C230C1">
            <w:pPr>
              <w:jc w:val="left"/>
            </w:pPr>
            <w:r>
              <w:rPr>
                <w:rStyle w:val="BlueMSJHBD-SB12pt"/>
              </w:rPr>
              <w:t>3/19</w:t>
            </w:r>
          </w:p>
        </w:tc>
        <w:tc>
          <w:tcPr>
            <w:tcW w:w="7000" w:type="dxa"/>
          </w:tcPr>
          <w:p w14:paraId="49AD5DDB" w14:textId="77777777" w:rsidR="00B213E7" w:rsidRDefault="00C230C1">
            <w:pPr>
              <w:jc w:val="left"/>
            </w:pPr>
            <w:r>
              <w:rPr>
                <w:rStyle w:val="BlueMSJHBD-SB12pt"/>
              </w:rPr>
              <w:t>國際食品衛生安全規範</w:t>
            </w:r>
            <w:r>
              <w:rPr>
                <w:rStyle w:val="BlueMSJHBD-SB12pt"/>
              </w:rPr>
              <w:t>(III):</w:t>
            </w:r>
            <w:r>
              <w:rPr>
                <w:rStyle w:val="BlueMSJHBD-SB12pt"/>
              </w:rPr>
              <w:t>歐盟</w:t>
            </w:r>
          </w:p>
        </w:tc>
      </w:tr>
      <w:tr w:rsidR="00B213E7" w14:paraId="15127CF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" w:type="dxa"/>
          </w:tcPr>
          <w:p w14:paraId="7B32A65A" w14:textId="77777777" w:rsidR="00B213E7" w:rsidRDefault="00C230C1">
            <w:pPr>
              <w:jc w:val="center"/>
            </w:pPr>
            <w:r>
              <w:rPr>
                <w:rStyle w:val="BlueMSJHBD-SB12pt"/>
              </w:rPr>
              <w:t>5</w:t>
            </w:r>
          </w:p>
        </w:tc>
        <w:tc>
          <w:tcPr>
            <w:tcW w:w="2500" w:type="dxa"/>
          </w:tcPr>
          <w:p w14:paraId="6124D769" w14:textId="77777777" w:rsidR="00B213E7" w:rsidRDefault="00C230C1">
            <w:pPr>
              <w:jc w:val="left"/>
            </w:pPr>
            <w:r>
              <w:rPr>
                <w:rStyle w:val="BlueMSJHBD-SB12pt"/>
              </w:rPr>
              <w:t>3/26</w:t>
            </w:r>
          </w:p>
        </w:tc>
        <w:tc>
          <w:tcPr>
            <w:tcW w:w="7000" w:type="dxa"/>
          </w:tcPr>
          <w:p w14:paraId="5D68B5C7" w14:textId="77777777" w:rsidR="00B213E7" w:rsidRDefault="00C230C1">
            <w:pPr>
              <w:jc w:val="left"/>
            </w:pPr>
            <w:r>
              <w:rPr>
                <w:rStyle w:val="BlueMSJHBD-SB12pt"/>
              </w:rPr>
              <w:t>國際食品衛生安全規範</w:t>
            </w:r>
            <w:r>
              <w:rPr>
                <w:rStyle w:val="BlueMSJHBD-SB12pt"/>
              </w:rPr>
              <w:t>(IV):</w:t>
            </w:r>
            <w:r>
              <w:rPr>
                <w:rStyle w:val="BlueMSJHBD-SB12pt"/>
              </w:rPr>
              <w:t>美國</w:t>
            </w:r>
          </w:p>
        </w:tc>
      </w:tr>
      <w:tr w:rsidR="00B213E7" w14:paraId="1A19A3E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" w:type="dxa"/>
          </w:tcPr>
          <w:p w14:paraId="015007BD" w14:textId="77777777" w:rsidR="00B213E7" w:rsidRDefault="00C230C1">
            <w:pPr>
              <w:jc w:val="center"/>
            </w:pPr>
            <w:r>
              <w:rPr>
                <w:rStyle w:val="BlueMSJHBD-SB12pt"/>
              </w:rPr>
              <w:t>6</w:t>
            </w:r>
          </w:p>
        </w:tc>
        <w:tc>
          <w:tcPr>
            <w:tcW w:w="2500" w:type="dxa"/>
          </w:tcPr>
          <w:p w14:paraId="76459D7F" w14:textId="77777777" w:rsidR="00B213E7" w:rsidRDefault="00C230C1">
            <w:pPr>
              <w:jc w:val="left"/>
            </w:pPr>
            <w:r>
              <w:rPr>
                <w:rStyle w:val="BlueMSJHBD-SB12pt"/>
              </w:rPr>
              <w:t>4/2 4/2</w:t>
            </w:r>
          </w:p>
        </w:tc>
        <w:tc>
          <w:tcPr>
            <w:tcW w:w="7000" w:type="dxa"/>
          </w:tcPr>
          <w:p w14:paraId="67B8080C" w14:textId="77777777" w:rsidR="00B213E7" w:rsidRDefault="00C230C1">
            <w:pPr>
              <w:jc w:val="left"/>
            </w:pPr>
            <w:r>
              <w:rPr>
                <w:rStyle w:val="BlueMSJHBD-SB12pt"/>
              </w:rPr>
              <w:t>食品安全風險分析法制</w:t>
            </w:r>
            <w:r>
              <w:rPr>
                <w:rStyle w:val="BlueMSJHBD-SB12pt"/>
              </w:rPr>
              <w:t xml:space="preserve"> (I): </w:t>
            </w:r>
            <w:r>
              <w:rPr>
                <w:rStyle w:val="BlueMSJHBD-SB12pt"/>
              </w:rPr>
              <w:t>風險評估</w:t>
            </w:r>
            <w:r>
              <w:rPr>
                <w:rStyle w:val="BlueMSJHBD-SB12pt"/>
              </w:rPr>
              <w:t>Risk Assessment</w:t>
            </w:r>
          </w:p>
        </w:tc>
      </w:tr>
      <w:tr w:rsidR="00B213E7" w14:paraId="617BE45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" w:type="dxa"/>
          </w:tcPr>
          <w:p w14:paraId="64B2A6B1" w14:textId="77777777" w:rsidR="00B213E7" w:rsidRDefault="00C230C1">
            <w:pPr>
              <w:jc w:val="center"/>
            </w:pPr>
            <w:r>
              <w:rPr>
                <w:rStyle w:val="BlueMSJHBD-SB12pt"/>
              </w:rPr>
              <w:t>7</w:t>
            </w:r>
          </w:p>
        </w:tc>
        <w:tc>
          <w:tcPr>
            <w:tcW w:w="2500" w:type="dxa"/>
          </w:tcPr>
          <w:p w14:paraId="34B1CE36" w14:textId="77777777" w:rsidR="00B213E7" w:rsidRDefault="00C230C1">
            <w:pPr>
              <w:jc w:val="left"/>
            </w:pPr>
            <w:r>
              <w:rPr>
                <w:rStyle w:val="BlueMSJHBD-SB12pt"/>
              </w:rPr>
              <w:t>4/9</w:t>
            </w:r>
          </w:p>
        </w:tc>
        <w:tc>
          <w:tcPr>
            <w:tcW w:w="7000" w:type="dxa"/>
          </w:tcPr>
          <w:p w14:paraId="2440B567" w14:textId="77777777" w:rsidR="00B213E7" w:rsidRDefault="00C230C1">
            <w:pPr>
              <w:jc w:val="left"/>
            </w:pPr>
            <w:r>
              <w:rPr>
                <w:rStyle w:val="BlueMSJHBD-SB12pt"/>
              </w:rPr>
              <w:t>食品風險治理法制</w:t>
            </w:r>
            <w:r>
              <w:rPr>
                <w:rStyle w:val="BlueMSJHBD-SB12pt"/>
              </w:rPr>
              <w:t xml:space="preserve"> (II): </w:t>
            </w:r>
            <w:r>
              <w:rPr>
                <w:rStyle w:val="BlueMSJHBD-SB12pt"/>
              </w:rPr>
              <w:t>風險管理</w:t>
            </w:r>
            <w:r>
              <w:rPr>
                <w:rStyle w:val="BlueMSJHBD-SB12pt"/>
              </w:rPr>
              <w:t>Risk Management-1</w:t>
            </w:r>
          </w:p>
        </w:tc>
      </w:tr>
      <w:tr w:rsidR="00B213E7" w14:paraId="1E0F8C0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" w:type="dxa"/>
          </w:tcPr>
          <w:p w14:paraId="68F3D916" w14:textId="77777777" w:rsidR="00B213E7" w:rsidRDefault="00C230C1">
            <w:pPr>
              <w:jc w:val="center"/>
            </w:pPr>
            <w:r>
              <w:rPr>
                <w:rStyle w:val="BlueMSJHBD-SB12pt"/>
              </w:rPr>
              <w:t>8</w:t>
            </w:r>
          </w:p>
        </w:tc>
        <w:tc>
          <w:tcPr>
            <w:tcW w:w="2500" w:type="dxa"/>
          </w:tcPr>
          <w:p w14:paraId="6DDC0804" w14:textId="77777777" w:rsidR="00B213E7" w:rsidRDefault="00C230C1">
            <w:pPr>
              <w:jc w:val="left"/>
            </w:pPr>
            <w:r>
              <w:rPr>
                <w:rStyle w:val="BlueMSJHBD-SB12pt"/>
              </w:rPr>
              <w:t>4/16</w:t>
            </w:r>
          </w:p>
        </w:tc>
        <w:tc>
          <w:tcPr>
            <w:tcW w:w="7000" w:type="dxa"/>
          </w:tcPr>
          <w:p w14:paraId="2D2C784A" w14:textId="77777777" w:rsidR="00B213E7" w:rsidRDefault="00C230C1">
            <w:pPr>
              <w:jc w:val="left"/>
            </w:pPr>
            <w:r>
              <w:rPr>
                <w:rStyle w:val="BlueMSJHBD-SB12pt"/>
              </w:rPr>
              <w:t>食品風險治理法制</w:t>
            </w:r>
            <w:r>
              <w:rPr>
                <w:rStyle w:val="BlueMSJHBD-SB12pt"/>
              </w:rPr>
              <w:t xml:space="preserve"> (II): </w:t>
            </w:r>
            <w:r>
              <w:rPr>
                <w:rStyle w:val="BlueMSJHBD-SB12pt"/>
              </w:rPr>
              <w:t>風險管理</w:t>
            </w:r>
            <w:r>
              <w:rPr>
                <w:rStyle w:val="BlueMSJHBD-SB12pt"/>
              </w:rPr>
              <w:t>Risk Management-2</w:t>
            </w:r>
          </w:p>
        </w:tc>
      </w:tr>
      <w:tr w:rsidR="00B213E7" w14:paraId="5A4A60F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" w:type="dxa"/>
          </w:tcPr>
          <w:p w14:paraId="557B6D30" w14:textId="77777777" w:rsidR="00B213E7" w:rsidRDefault="00C230C1">
            <w:pPr>
              <w:jc w:val="center"/>
            </w:pPr>
            <w:r>
              <w:rPr>
                <w:rStyle w:val="BlueMSJHBD-SB12pt"/>
              </w:rPr>
              <w:t>9</w:t>
            </w:r>
          </w:p>
        </w:tc>
        <w:tc>
          <w:tcPr>
            <w:tcW w:w="2500" w:type="dxa"/>
          </w:tcPr>
          <w:p w14:paraId="7B18AE50" w14:textId="77777777" w:rsidR="00B213E7" w:rsidRDefault="00C230C1">
            <w:pPr>
              <w:jc w:val="left"/>
            </w:pPr>
            <w:r>
              <w:rPr>
                <w:rStyle w:val="BlueMSJHBD-SB12pt"/>
              </w:rPr>
              <w:t>4/23</w:t>
            </w:r>
          </w:p>
        </w:tc>
        <w:tc>
          <w:tcPr>
            <w:tcW w:w="7000" w:type="dxa"/>
          </w:tcPr>
          <w:p w14:paraId="7CE43822" w14:textId="77777777" w:rsidR="00B213E7" w:rsidRDefault="00C230C1">
            <w:pPr>
              <w:jc w:val="left"/>
            </w:pPr>
            <w:r>
              <w:rPr>
                <w:rStyle w:val="BlueMSJHBD-SB12pt"/>
              </w:rPr>
              <w:t>食品風險治理法制（</w:t>
            </w:r>
            <w:r>
              <w:rPr>
                <w:rStyle w:val="BlueMSJHBD-SB12pt"/>
              </w:rPr>
              <w:t>III</w:t>
            </w:r>
            <w:r>
              <w:rPr>
                <w:rStyle w:val="BlueMSJHBD-SB12pt"/>
              </w:rPr>
              <w:t>）</w:t>
            </w:r>
            <w:r>
              <w:rPr>
                <w:rStyle w:val="BlueMSJHBD-SB12pt"/>
              </w:rPr>
              <w:t xml:space="preserve">: </w:t>
            </w:r>
            <w:r>
              <w:rPr>
                <w:rStyle w:val="BlueMSJHBD-SB12pt"/>
              </w:rPr>
              <w:t>風險溝通</w:t>
            </w:r>
            <w:r>
              <w:rPr>
                <w:rStyle w:val="BlueMSJHBD-SB12pt"/>
              </w:rPr>
              <w:t>Risk Communication</w:t>
            </w:r>
          </w:p>
        </w:tc>
      </w:tr>
      <w:tr w:rsidR="00B213E7" w14:paraId="13C667D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" w:type="dxa"/>
          </w:tcPr>
          <w:p w14:paraId="7276E43B" w14:textId="77777777" w:rsidR="00B213E7" w:rsidRDefault="00C230C1">
            <w:pPr>
              <w:jc w:val="center"/>
            </w:pPr>
            <w:r>
              <w:rPr>
                <w:rStyle w:val="BlueMSJHBD-SB12pt"/>
              </w:rPr>
              <w:t>10</w:t>
            </w:r>
          </w:p>
        </w:tc>
        <w:tc>
          <w:tcPr>
            <w:tcW w:w="2500" w:type="dxa"/>
          </w:tcPr>
          <w:p w14:paraId="561E98FA" w14:textId="77777777" w:rsidR="00B213E7" w:rsidRDefault="00C230C1">
            <w:pPr>
              <w:jc w:val="left"/>
            </w:pPr>
            <w:r>
              <w:rPr>
                <w:rStyle w:val="BlueMSJHBD-SB12pt"/>
              </w:rPr>
              <w:t>4/30</w:t>
            </w:r>
          </w:p>
        </w:tc>
        <w:tc>
          <w:tcPr>
            <w:tcW w:w="7000" w:type="dxa"/>
          </w:tcPr>
          <w:p w14:paraId="6EDF9E3C" w14:textId="77777777" w:rsidR="00B213E7" w:rsidRDefault="00C230C1">
            <w:pPr>
              <w:jc w:val="left"/>
            </w:pPr>
            <w:r>
              <w:rPr>
                <w:rStyle w:val="BlueMSJHBD-SB12pt"/>
              </w:rPr>
              <w:t>食品標示、廣告與消費者知的權利</w:t>
            </w:r>
            <w:r>
              <w:rPr>
                <w:rStyle w:val="BlueMSJHBD-SB12pt"/>
              </w:rPr>
              <w:t xml:space="preserve"> (I)</w:t>
            </w:r>
          </w:p>
        </w:tc>
      </w:tr>
      <w:tr w:rsidR="00B213E7" w14:paraId="702B7AE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" w:type="dxa"/>
          </w:tcPr>
          <w:p w14:paraId="3D89BF3A" w14:textId="77777777" w:rsidR="00B213E7" w:rsidRDefault="00C230C1">
            <w:pPr>
              <w:jc w:val="center"/>
            </w:pPr>
            <w:r>
              <w:rPr>
                <w:rStyle w:val="BlueMSJHBD-SB12pt"/>
              </w:rPr>
              <w:t>11</w:t>
            </w:r>
          </w:p>
        </w:tc>
        <w:tc>
          <w:tcPr>
            <w:tcW w:w="2500" w:type="dxa"/>
          </w:tcPr>
          <w:p w14:paraId="6879E909" w14:textId="77777777" w:rsidR="00B213E7" w:rsidRDefault="00C230C1">
            <w:pPr>
              <w:jc w:val="left"/>
            </w:pPr>
            <w:r>
              <w:rPr>
                <w:rStyle w:val="BlueMSJHBD-SB12pt"/>
              </w:rPr>
              <w:t>5/7</w:t>
            </w:r>
          </w:p>
        </w:tc>
        <w:tc>
          <w:tcPr>
            <w:tcW w:w="7000" w:type="dxa"/>
          </w:tcPr>
          <w:p w14:paraId="27EDFDB9" w14:textId="77777777" w:rsidR="00B213E7" w:rsidRDefault="00C230C1">
            <w:pPr>
              <w:jc w:val="left"/>
            </w:pPr>
            <w:r>
              <w:rPr>
                <w:rStyle w:val="BlueMSJHBD-SB12pt"/>
              </w:rPr>
              <w:t>食品標示、廣告與消費者知的權利</w:t>
            </w:r>
            <w:r>
              <w:rPr>
                <w:rStyle w:val="BlueMSJHBD-SB12pt"/>
              </w:rPr>
              <w:t xml:space="preserve"> (II)</w:t>
            </w:r>
          </w:p>
        </w:tc>
      </w:tr>
      <w:tr w:rsidR="00B213E7" w14:paraId="651733D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" w:type="dxa"/>
          </w:tcPr>
          <w:p w14:paraId="4F178BF8" w14:textId="77777777" w:rsidR="00B213E7" w:rsidRDefault="00C230C1">
            <w:pPr>
              <w:jc w:val="center"/>
            </w:pPr>
            <w:r>
              <w:rPr>
                <w:rStyle w:val="BlueMSJHBD-SB12pt"/>
              </w:rPr>
              <w:t>12</w:t>
            </w:r>
          </w:p>
        </w:tc>
        <w:tc>
          <w:tcPr>
            <w:tcW w:w="2500" w:type="dxa"/>
          </w:tcPr>
          <w:p w14:paraId="55619A02" w14:textId="77777777" w:rsidR="00B213E7" w:rsidRDefault="00C230C1">
            <w:pPr>
              <w:jc w:val="left"/>
            </w:pPr>
            <w:r>
              <w:rPr>
                <w:rStyle w:val="BlueMSJHBD-SB12pt"/>
              </w:rPr>
              <w:t>5/14</w:t>
            </w:r>
          </w:p>
        </w:tc>
        <w:tc>
          <w:tcPr>
            <w:tcW w:w="7000" w:type="dxa"/>
          </w:tcPr>
          <w:p w14:paraId="1C5E34AB" w14:textId="77777777" w:rsidR="00B213E7" w:rsidRDefault="00C230C1">
            <w:pPr>
              <w:jc w:val="left"/>
            </w:pPr>
            <w:r>
              <w:rPr>
                <w:rStyle w:val="BlueMSJHBD-SB12pt"/>
              </w:rPr>
              <w:t>食品法律與政策研討會</w:t>
            </w:r>
          </w:p>
        </w:tc>
      </w:tr>
      <w:tr w:rsidR="00B213E7" w14:paraId="4BDD312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" w:type="dxa"/>
          </w:tcPr>
          <w:p w14:paraId="462D00B8" w14:textId="77777777" w:rsidR="00B213E7" w:rsidRDefault="00C230C1">
            <w:pPr>
              <w:jc w:val="center"/>
            </w:pPr>
            <w:r>
              <w:rPr>
                <w:rStyle w:val="BlueMSJHBD-SB12pt"/>
              </w:rPr>
              <w:t>13</w:t>
            </w:r>
          </w:p>
        </w:tc>
        <w:tc>
          <w:tcPr>
            <w:tcW w:w="2500" w:type="dxa"/>
          </w:tcPr>
          <w:p w14:paraId="47817A78" w14:textId="77777777" w:rsidR="00B213E7" w:rsidRDefault="00C230C1">
            <w:pPr>
              <w:jc w:val="left"/>
            </w:pPr>
            <w:r>
              <w:rPr>
                <w:rStyle w:val="BlueMSJHBD-SB12pt"/>
              </w:rPr>
              <w:t>5/21</w:t>
            </w:r>
          </w:p>
        </w:tc>
        <w:tc>
          <w:tcPr>
            <w:tcW w:w="7000" w:type="dxa"/>
          </w:tcPr>
          <w:p w14:paraId="4D442F73" w14:textId="77777777" w:rsidR="00B213E7" w:rsidRDefault="00C230C1">
            <w:pPr>
              <w:jc w:val="left"/>
            </w:pPr>
            <w:r>
              <w:rPr>
                <w:rStyle w:val="BlueMSJHBD-SB12pt"/>
              </w:rPr>
              <w:t>食品攙假與詐欺</w:t>
            </w:r>
            <w:r>
              <w:rPr>
                <w:rStyle w:val="BlueMSJHBD-SB12pt"/>
              </w:rPr>
              <w:t xml:space="preserve"> (I)</w:t>
            </w:r>
          </w:p>
        </w:tc>
      </w:tr>
      <w:tr w:rsidR="00B213E7" w14:paraId="319CD1A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" w:type="dxa"/>
          </w:tcPr>
          <w:p w14:paraId="7FB3B853" w14:textId="77777777" w:rsidR="00B213E7" w:rsidRDefault="00C230C1">
            <w:pPr>
              <w:jc w:val="center"/>
            </w:pPr>
            <w:r>
              <w:rPr>
                <w:rStyle w:val="BlueMSJHBD-SB12pt"/>
              </w:rPr>
              <w:t>14</w:t>
            </w:r>
          </w:p>
        </w:tc>
        <w:tc>
          <w:tcPr>
            <w:tcW w:w="2500" w:type="dxa"/>
          </w:tcPr>
          <w:p w14:paraId="2CB33E77" w14:textId="77777777" w:rsidR="00B213E7" w:rsidRDefault="00C230C1">
            <w:pPr>
              <w:jc w:val="left"/>
            </w:pPr>
            <w:r>
              <w:rPr>
                <w:rStyle w:val="BlueMSJHBD-SB12pt"/>
              </w:rPr>
              <w:t>5/28</w:t>
            </w:r>
          </w:p>
        </w:tc>
        <w:tc>
          <w:tcPr>
            <w:tcW w:w="7000" w:type="dxa"/>
          </w:tcPr>
          <w:p w14:paraId="73702DE0" w14:textId="77777777" w:rsidR="00B213E7" w:rsidRDefault="00C230C1">
            <w:pPr>
              <w:jc w:val="left"/>
            </w:pPr>
            <w:r>
              <w:rPr>
                <w:rStyle w:val="BlueMSJHBD-SB12pt"/>
              </w:rPr>
              <w:t>食品攙假與詐欺</w:t>
            </w:r>
            <w:r>
              <w:rPr>
                <w:rStyle w:val="BlueMSJHBD-SB12pt"/>
              </w:rPr>
              <w:t xml:space="preserve"> (II)</w:t>
            </w:r>
          </w:p>
        </w:tc>
      </w:tr>
      <w:tr w:rsidR="00B213E7" w14:paraId="27B1D80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" w:type="dxa"/>
          </w:tcPr>
          <w:p w14:paraId="6822CCA7" w14:textId="77777777" w:rsidR="00B213E7" w:rsidRDefault="00C230C1">
            <w:pPr>
              <w:jc w:val="center"/>
            </w:pPr>
            <w:r>
              <w:rPr>
                <w:rStyle w:val="BlueMSJHBD-SB12pt"/>
              </w:rPr>
              <w:t>15</w:t>
            </w:r>
          </w:p>
        </w:tc>
        <w:tc>
          <w:tcPr>
            <w:tcW w:w="2500" w:type="dxa"/>
          </w:tcPr>
          <w:p w14:paraId="1A12013B" w14:textId="77777777" w:rsidR="00B213E7" w:rsidRDefault="00C230C1">
            <w:pPr>
              <w:jc w:val="left"/>
            </w:pPr>
            <w:r>
              <w:rPr>
                <w:rStyle w:val="BlueMSJHBD-SB12pt"/>
              </w:rPr>
              <w:t>6/4</w:t>
            </w:r>
          </w:p>
        </w:tc>
        <w:tc>
          <w:tcPr>
            <w:tcW w:w="7000" w:type="dxa"/>
          </w:tcPr>
          <w:p w14:paraId="3FC5F0C0" w14:textId="77777777" w:rsidR="00B213E7" w:rsidRDefault="00C230C1">
            <w:pPr>
              <w:jc w:val="left"/>
            </w:pPr>
            <w:r>
              <w:rPr>
                <w:rStyle w:val="BlueMSJHBD-SB12pt"/>
              </w:rPr>
              <w:t>輸入食品管理政策</w:t>
            </w:r>
          </w:p>
        </w:tc>
      </w:tr>
      <w:tr w:rsidR="00B213E7" w14:paraId="66695A6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" w:type="dxa"/>
          </w:tcPr>
          <w:p w14:paraId="6CBA76E9" w14:textId="77777777" w:rsidR="00B213E7" w:rsidRDefault="00C230C1">
            <w:pPr>
              <w:jc w:val="center"/>
            </w:pPr>
            <w:r>
              <w:rPr>
                <w:rStyle w:val="BlueMSJHBD-SB12pt"/>
              </w:rPr>
              <w:t>16</w:t>
            </w:r>
          </w:p>
        </w:tc>
        <w:tc>
          <w:tcPr>
            <w:tcW w:w="2500" w:type="dxa"/>
          </w:tcPr>
          <w:p w14:paraId="4870C314" w14:textId="77777777" w:rsidR="00B213E7" w:rsidRDefault="00C230C1">
            <w:pPr>
              <w:jc w:val="left"/>
            </w:pPr>
            <w:r>
              <w:rPr>
                <w:rStyle w:val="BlueMSJHBD-SB12pt"/>
              </w:rPr>
              <w:t>6/11</w:t>
            </w:r>
          </w:p>
        </w:tc>
        <w:tc>
          <w:tcPr>
            <w:tcW w:w="7000" w:type="dxa"/>
          </w:tcPr>
          <w:p w14:paraId="28F8A89D" w14:textId="77777777" w:rsidR="00B213E7" w:rsidRDefault="00C230C1">
            <w:pPr>
              <w:jc w:val="left"/>
            </w:pPr>
            <w:r>
              <w:rPr>
                <w:rStyle w:val="BlueMSJHBD-SB12pt"/>
              </w:rPr>
              <w:t>學生期末報告檢討</w:t>
            </w:r>
          </w:p>
        </w:tc>
      </w:tr>
      <w:tr w:rsidR="00B213E7" w14:paraId="3252AF5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" w:type="dxa"/>
          </w:tcPr>
          <w:p w14:paraId="72BE6401" w14:textId="77777777" w:rsidR="00B213E7" w:rsidRDefault="00C230C1">
            <w:pPr>
              <w:jc w:val="center"/>
            </w:pPr>
            <w:r>
              <w:rPr>
                <w:rStyle w:val="BlueMSJHBD-SB12pt"/>
              </w:rPr>
              <w:t>17</w:t>
            </w:r>
          </w:p>
        </w:tc>
        <w:tc>
          <w:tcPr>
            <w:tcW w:w="2500" w:type="dxa"/>
          </w:tcPr>
          <w:p w14:paraId="0D0F6FDB" w14:textId="77777777" w:rsidR="00B213E7" w:rsidRDefault="00C230C1">
            <w:pPr>
              <w:jc w:val="left"/>
            </w:pPr>
            <w:r>
              <w:rPr>
                <w:rStyle w:val="BlueMSJHBD-SB12pt"/>
              </w:rPr>
              <w:t>6/18</w:t>
            </w:r>
          </w:p>
        </w:tc>
        <w:tc>
          <w:tcPr>
            <w:tcW w:w="7000" w:type="dxa"/>
          </w:tcPr>
          <w:p w14:paraId="2442D0D8" w14:textId="77777777" w:rsidR="00B213E7" w:rsidRDefault="00C230C1">
            <w:pPr>
              <w:jc w:val="left"/>
            </w:pPr>
            <w:r>
              <w:rPr>
                <w:rStyle w:val="BlueMSJHBD-SB12pt"/>
              </w:rPr>
              <w:t>學生期末報告檢討</w:t>
            </w:r>
          </w:p>
        </w:tc>
      </w:tr>
      <w:tr w:rsidR="00B213E7" w14:paraId="7EA97A5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" w:type="dxa"/>
          </w:tcPr>
          <w:p w14:paraId="291E1B70" w14:textId="77777777" w:rsidR="00B213E7" w:rsidRDefault="00C230C1">
            <w:pPr>
              <w:jc w:val="center"/>
            </w:pPr>
            <w:r>
              <w:rPr>
                <w:rStyle w:val="BlueMSJHBD-SB12pt"/>
              </w:rPr>
              <w:t>18</w:t>
            </w:r>
          </w:p>
        </w:tc>
        <w:tc>
          <w:tcPr>
            <w:tcW w:w="2500" w:type="dxa"/>
          </w:tcPr>
          <w:p w14:paraId="030F6850" w14:textId="77777777" w:rsidR="00B213E7" w:rsidRDefault="00C230C1">
            <w:pPr>
              <w:jc w:val="left"/>
            </w:pPr>
            <w:r>
              <w:rPr>
                <w:rStyle w:val="BlueMSJHBD-SB12pt"/>
              </w:rPr>
              <w:t>6/25</w:t>
            </w:r>
          </w:p>
        </w:tc>
        <w:tc>
          <w:tcPr>
            <w:tcW w:w="7000" w:type="dxa"/>
          </w:tcPr>
          <w:p w14:paraId="012189A0" w14:textId="77777777" w:rsidR="00B213E7" w:rsidRDefault="00C230C1">
            <w:pPr>
              <w:jc w:val="left"/>
            </w:pPr>
            <w:r>
              <w:rPr>
                <w:rStyle w:val="BlueMSJHBD-SB12pt"/>
              </w:rPr>
              <w:t>自主學習</w:t>
            </w:r>
          </w:p>
        </w:tc>
      </w:tr>
    </w:tbl>
    <w:tbl>
      <w:tblPr>
        <w:tblStyle w:val="noteTable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0773"/>
      </w:tblGrid>
      <w:tr w:rsidR="00B213E7" w14:paraId="4728136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000" w:type="dxa"/>
          </w:tcPr>
          <w:p w14:paraId="46C6794B" w14:textId="77777777" w:rsidR="00B213E7" w:rsidRDefault="00C230C1">
            <w:pPr>
              <w:jc w:val="left"/>
            </w:pPr>
            <w:r>
              <w:rPr>
                <w:rStyle w:val="MSJHBD-SB12pt"/>
              </w:rPr>
              <w:t>備註：</w:t>
            </w:r>
          </w:p>
        </w:tc>
      </w:tr>
      <w:tr w:rsidR="00B213E7" w14:paraId="6E90D16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000" w:type="dxa"/>
          </w:tcPr>
          <w:p w14:paraId="677E2CFD" w14:textId="77777777" w:rsidR="00B213E7" w:rsidRDefault="00C230C1">
            <w:pPr>
              <w:jc w:val="left"/>
            </w:pPr>
            <w:r>
              <w:rPr>
                <w:rStyle w:val="MSJHBD-SB12pt"/>
              </w:rPr>
              <w:t>1.</w:t>
            </w:r>
            <w:r>
              <w:rPr>
                <w:rStyle w:val="MSJHBD-SB12pt"/>
              </w:rPr>
              <w:t>請遵守智慧財產權觀念及勿使用不法影印教科書。</w:t>
            </w:r>
          </w:p>
        </w:tc>
      </w:tr>
      <w:tr w:rsidR="00B213E7" w14:paraId="7C3578F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000" w:type="dxa"/>
          </w:tcPr>
          <w:p w14:paraId="44BF5BE7" w14:textId="77777777" w:rsidR="00B213E7" w:rsidRDefault="00C230C1">
            <w:pPr>
              <w:jc w:val="left"/>
            </w:pPr>
            <w:r>
              <w:rPr>
                <w:rStyle w:val="MSJHBD-SB12pt"/>
              </w:rPr>
              <w:t>2.</w:t>
            </w:r>
            <w:r>
              <w:rPr>
                <w:rStyle w:val="MSJHBD-SB12pt"/>
              </w:rPr>
              <w:t>其他欄包含參訪、專題演講等活動。</w:t>
            </w:r>
          </w:p>
        </w:tc>
      </w:tr>
      <w:tr w:rsidR="00B213E7" w14:paraId="727A797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000" w:type="dxa"/>
          </w:tcPr>
          <w:p w14:paraId="2A6EA9F2" w14:textId="77777777" w:rsidR="00B213E7" w:rsidRDefault="00C230C1">
            <w:pPr>
              <w:jc w:val="center"/>
            </w:pPr>
            <w:r>
              <w:rPr>
                <w:rStyle w:val="MSJHBD-SB12pt"/>
              </w:rPr>
              <w:t xml:space="preserve"> Copyright©2019 National Chiao Tung University ALL RIGHTS RESERVED.</w:t>
            </w:r>
          </w:p>
        </w:tc>
      </w:tr>
    </w:tbl>
    <w:p w14:paraId="5F9287D2" w14:textId="77777777" w:rsidR="00C230C1" w:rsidRDefault="00C230C1"/>
    <w:sectPr w:rsidR="00C230C1">
      <w:pgSz w:w="11905" w:h="16837"/>
      <w:pgMar w:top="566" w:right="566" w:bottom="566" w:left="56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Microsoft JhengHei">
    <w:altName w:val="微軟正黑體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3E7"/>
    <w:rsid w:val="00A97210"/>
    <w:rsid w:val="00B213E7"/>
    <w:rsid w:val="00C23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DA77F9"/>
  <w15:docId w15:val="{5F23EBEF-3D3B-46A2-B057-7EE51A629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Microsoft JhengHei" w:eastAsia="Microsoft JhengHei" w:hAnsi="Microsoft JhengHei" w:cs="Microsoft JhengHei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line="285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character" w:customStyle="1" w:styleId="MSJHBD-SB16pt">
    <w:name w:val="MSJHBD-SB16pt"/>
    <w:rPr>
      <w:rFonts w:ascii="Microsoft JhengHei" w:eastAsia="Microsoft JhengHei" w:hAnsi="Microsoft JhengHei" w:cs="Microsoft JhengHei"/>
      <w:sz w:val="32"/>
      <w:szCs w:val="32"/>
    </w:rPr>
  </w:style>
  <w:style w:type="character" w:customStyle="1" w:styleId="MSJHBD-SB12pt">
    <w:name w:val="MSJHBD-SB12pt"/>
    <w:rPr>
      <w:rFonts w:ascii="Microsoft JhengHei" w:eastAsia="Microsoft JhengHei" w:hAnsi="Microsoft JhengHei" w:cs="Microsoft JhengHei"/>
      <w:sz w:val="24"/>
      <w:szCs w:val="24"/>
    </w:rPr>
  </w:style>
  <w:style w:type="character" w:customStyle="1" w:styleId="RedMSJHBD-SB12pt">
    <w:name w:val="RedMSJHBD-SB12pt"/>
    <w:rPr>
      <w:rFonts w:ascii="Microsoft JhengHei" w:eastAsia="Microsoft JhengHei" w:hAnsi="Microsoft JhengHei" w:cs="Microsoft JhengHei"/>
      <w:color w:val="FF0000"/>
      <w:sz w:val="24"/>
      <w:szCs w:val="24"/>
    </w:rPr>
  </w:style>
  <w:style w:type="character" w:customStyle="1" w:styleId="BlueMSJHBD-SB12pt">
    <w:name w:val="BlueMSJHBD-SB12pt"/>
    <w:rPr>
      <w:rFonts w:ascii="Microsoft JhengHei" w:eastAsia="Microsoft JhengHei" w:hAnsi="Microsoft JhengHei" w:cs="Microsoft JhengHei"/>
      <w:color w:val="0000FF"/>
      <w:sz w:val="24"/>
      <w:szCs w:val="24"/>
    </w:rPr>
  </w:style>
  <w:style w:type="character" w:customStyle="1" w:styleId="DFKai-SB18pt">
    <w:name w:val="DFKai-SB18pt"/>
    <w:rPr>
      <w:rFonts w:ascii="DFKai-SB" w:eastAsia="DFKai-SB" w:hAnsi="DFKai-SB" w:cs="DFKai-SB"/>
      <w:sz w:val="36"/>
      <w:szCs w:val="36"/>
    </w:rPr>
  </w:style>
  <w:style w:type="character" w:customStyle="1" w:styleId="DFKai-SB12pt">
    <w:name w:val="DFKai-SB12pt"/>
    <w:rPr>
      <w:rFonts w:ascii="DFKai-SB" w:eastAsia="DFKai-SB" w:hAnsi="DFKai-SB" w:cs="DFKai-SB"/>
      <w:sz w:val="24"/>
      <w:szCs w:val="24"/>
    </w:rPr>
  </w:style>
  <w:style w:type="character" w:customStyle="1" w:styleId="RedDFKai-SB12pt">
    <w:name w:val="RedDFKai-SB12pt"/>
    <w:rPr>
      <w:rFonts w:ascii="DFKai-SB" w:eastAsia="DFKai-SB" w:hAnsi="DFKai-SB" w:cs="DFKai-SB"/>
      <w:color w:val="FF0000"/>
      <w:sz w:val="24"/>
      <w:szCs w:val="24"/>
    </w:rPr>
  </w:style>
  <w:style w:type="character" w:customStyle="1" w:styleId="BlueDFKai-SB12pt">
    <w:name w:val="BlueDFKai-SB12pt"/>
    <w:rPr>
      <w:rFonts w:ascii="DFKai-SB" w:eastAsia="DFKai-SB" w:hAnsi="DFKai-SB" w:cs="DFKai-SB"/>
      <w:color w:val="0000FF"/>
      <w:sz w:val="24"/>
      <w:szCs w:val="24"/>
    </w:rPr>
  </w:style>
  <w:style w:type="table" w:customStyle="1" w:styleId="myTable">
    <w:name w:val="myTable"/>
    <w:uiPriority w:val="99"/>
    <w:tblPr>
      <w:tblBorders>
        <w:top w:val="single" w:sz="15" w:space="0" w:color="000000"/>
        <w:left w:val="single" w:sz="15" w:space="0" w:color="000000"/>
        <w:bottom w:val="single" w:sz="15" w:space="0" w:color="000000"/>
        <w:right w:val="single" w:sz="15" w:space="0" w:color="000000"/>
        <w:insideH w:val="single" w:sz="1" w:space="0" w:color="000000"/>
        <w:insideV w:val="single" w:sz="1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outlineTable">
    <w:name w:val="outlineTable"/>
    <w:uiPriority w:val="99"/>
    <w:tblPr>
      <w:tblBorders>
        <w:top w:val="single" w:sz="15" w:space="0" w:color="000000"/>
        <w:left w:val="single" w:sz="15" w:space="0" w:color="000000"/>
        <w:bottom w:val="single" w:sz="15" w:space="0" w:color="000000"/>
        <w:right w:val="single" w:sz="15" w:space="0" w:color="000000"/>
        <w:insideH w:val="single" w:sz="1" w:space="0" w:color="000000"/>
        <w:insideV w:val="single" w:sz="1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descriptionDataTable">
    <w:name w:val="descriptionDataTable"/>
    <w:uiPriority w:val="99"/>
    <w:tblPr>
      <w:tblBorders>
        <w:top w:val="single" w:sz="15" w:space="0" w:color="000000"/>
        <w:left w:val="single" w:sz="15" w:space="0" w:color="000000"/>
        <w:bottom w:val="single" w:sz="15" w:space="0" w:color="000000"/>
        <w:right w:val="single" w:sz="15" w:space="0" w:color="000000"/>
        <w:insideH w:val="single" w:sz="1" w:space="0" w:color="000000"/>
        <w:insideV w:val="single" w:sz="1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yllabusDataTable">
    <w:name w:val="syllabusDataTable"/>
    <w:uiPriority w:val="99"/>
    <w:tblPr>
      <w:tblBorders>
        <w:top w:val="single" w:sz="15" w:space="0" w:color="000000"/>
        <w:left w:val="single" w:sz="15" w:space="0" w:color="000000"/>
        <w:bottom w:val="single" w:sz="15" w:space="0" w:color="000000"/>
        <w:right w:val="single" w:sz="15" w:space="0" w:color="000000"/>
        <w:insideH w:val="single" w:sz="1" w:space="0" w:color="000000"/>
        <w:insideV w:val="single" w:sz="1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noteTable">
    <w:name w:val="noteTable"/>
    <w:uiPriority w:val="99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314</Words>
  <Characters>1791</Characters>
  <Application>Microsoft Office Word</Application>
  <DocSecurity>0</DocSecurity>
  <Lines>14</Lines>
  <Paragraphs>4</Paragraphs>
  <ScaleCrop>false</ScaleCrop>
  <Manager/>
  <Company>NCTU</Company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國立陽明交通大學課務管理系統之選課系統</dc:title>
  <dc:subject/>
  <dc:creator>National Chiao Tung University Curriculum Management System</dc:creator>
  <cp:keywords/>
  <dc:description>https://ccms.nycu.edu.tw</dc:description>
  <cp:lastModifiedBy>USER</cp:lastModifiedBy>
  <cp:revision>2</cp:revision>
  <dcterms:created xsi:type="dcterms:W3CDTF">2021-02-17T03:59:00Z</dcterms:created>
  <dcterms:modified xsi:type="dcterms:W3CDTF">2021-02-17T03:59:00Z</dcterms:modified>
  <cp:category/>
</cp:coreProperties>
</file>